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51" w:rsidRPr="001009A0" w:rsidRDefault="00D36671" w:rsidP="00BE1FA1">
      <w:pPr>
        <w:ind w:left="12744"/>
        <w:rPr>
          <w:b/>
          <w:szCs w:val="28"/>
        </w:rPr>
      </w:pPr>
      <w:r w:rsidRPr="001009A0">
        <w:rPr>
          <w:b/>
          <w:szCs w:val="28"/>
        </w:rPr>
        <w:t xml:space="preserve">    </w:t>
      </w:r>
      <w:r w:rsidR="00DD7451" w:rsidRPr="001009A0">
        <w:rPr>
          <w:b/>
          <w:szCs w:val="28"/>
        </w:rPr>
        <w:t>Форма № 8</w:t>
      </w:r>
    </w:p>
    <w:p w:rsidR="00360909" w:rsidRPr="001009A0" w:rsidRDefault="00360909" w:rsidP="00BE1FA1">
      <w:pPr>
        <w:ind w:left="12744"/>
        <w:rPr>
          <w:b/>
          <w:szCs w:val="28"/>
        </w:rPr>
      </w:pPr>
    </w:p>
    <w:p w:rsidR="00DD7451" w:rsidRDefault="00DD7451" w:rsidP="00BE1FA1">
      <w:pPr>
        <w:jc w:val="center"/>
        <w:rPr>
          <w:b/>
          <w:szCs w:val="28"/>
        </w:rPr>
      </w:pPr>
      <w:r w:rsidRPr="001009A0">
        <w:rPr>
          <w:b/>
          <w:szCs w:val="28"/>
        </w:rPr>
        <w:t>Информация о результатах</w:t>
      </w:r>
      <w:bookmarkStart w:id="0" w:name="_GoBack"/>
      <w:bookmarkEnd w:id="0"/>
      <w:r w:rsidRPr="001009A0">
        <w:rPr>
          <w:b/>
          <w:szCs w:val="28"/>
        </w:rPr>
        <w:t xml:space="preserve"> реализации ключевых программных мероприятий </w:t>
      </w:r>
      <w:r w:rsidR="00252C1C" w:rsidRPr="001009A0">
        <w:rPr>
          <w:b/>
          <w:szCs w:val="28"/>
        </w:rPr>
        <w:t xml:space="preserve">федеральной целевой программы </w:t>
      </w:r>
      <w:r w:rsidR="00B31662" w:rsidRPr="001009A0">
        <w:rPr>
          <w:b/>
          <w:szCs w:val="28"/>
        </w:rPr>
        <w:t>(мероприятий ФЦП</w:t>
      </w:r>
      <w:r w:rsidR="00FB5E77" w:rsidRPr="001009A0">
        <w:rPr>
          <w:b/>
          <w:szCs w:val="28"/>
        </w:rPr>
        <w:t xml:space="preserve"> «Развитие транспортной системы России (2010 – 2021 годы)»</w:t>
      </w:r>
      <w:r w:rsidR="00B31662" w:rsidRPr="001009A0">
        <w:rPr>
          <w:b/>
          <w:szCs w:val="28"/>
        </w:rPr>
        <w:t>, интегрированных в пилотн</w:t>
      </w:r>
      <w:r w:rsidR="00FB5E77" w:rsidRPr="001009A0">
        <w:rPr>
          <w:b/>
          <w:szCs w:val="28"/>
        </w:rPr>
        <w:t>ую</w:t>
      </w:r>
      <w:r w:rsidR="00B31662" w:rsidRPr="001009A0">
        <w:rPr>
          <w:b/>
          <w:szCs w:val="28"/>
        </w:rPr>
        <w:t xml:space="preserve"> г</w:t>
      </w:r>
      <w:r w:rsidR="00FB5E77" w:rsidRPr="001009A0">
        <w:rPr>
          <w:b/>
          <w:szCs w:val="28"/>
        </w:rPr>
        <w:t>осударственную программу Российской Федерации «Развитие транспортной системы»</w:t>
      </w:r>
      <w:r w:rsidR="00B31662" w:rsidRPr="001009A0">
        <w:rPr>
          <w:b/>
          <w:szCs w:val="28"/>
        </w:rPr>
        <w:t>)</w:t>
      </w:r>
      <w:r w:rsidR="00252C1C" w:rsidRPr="001009A0">
        <w:rPr>
          <w:b/>
          <w:szCs w:val="28"/>
        </w:rPr>
        <w:t xml:space="preserve"> </w:t>
      </w:r>
      <w:r w:rsidRPr="001009A0">
        <w:rPr>
          <w:b/>
          <w:szCs w:val="28"/>
        </w:rPr>
        <w:t>за 201</w:t>
      </w:r>
      <w:r w:rsidR="00CB0BB8" w:rsidRPr="001009A0">
        <w:rPr>
          <w:b/>
          <w:szCs w:val="28"/>
        </w:rPr>
        <w:t xml:space="preserve">9 </w:t>
      </w:r>
      <w:r w:rsidRPr="001009A0">
        <w:rPr>
          <w:b/>
          <w:szCs w:val="28"/>
        </w:rPr>
        <w:t>год</w:t>
      </w:r>
    </w:p>
    <w:p w:rsidR="001009A0" w:rsidRPr="001009A0" w:rsidRDefault="001009A0" w:rsidP="00BE1FA1">
      <w:pPr>
        <w:jc w:val="center"/>
        <w:rPr>
          <w:b/>
          <w:szCs w:val="28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533"/>
        <w:gridCol w:w="3261"/>
        <w:gridCol w:w="2410"/>
        <w:gridCol w:w="2272"/>
        <w:gridCol w:w="2240"/>
        <w:gridCol w:w="28"/>
        <w:gridCol w:w="2689"/>
        <w:gridCol w:w="2551"/>
      </w:tblGrid>
      <w:tr w:rsidR="00FF773F" w:rsidRPr="00D753BB" w:rsidTr="00D753BB">
        <w:trPr>
          <w:gridBefore w:val="1"/>
          <w:wBefore w:w="318" w:type="dxa"/>
          <w:trHeight w:val="548"/>
          <w:tblHeader/>
        </w:trPr>
        <w:tc>
          <w:tcPr>
            <w:tcW w:w="533" w:type="dxa"/>
            <w:vMerge w:val="restart"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D753BB">
              <w:rPr>
                <w:b/>
                <w:sz w:val="23"/>
                <w:szCs w:val="23"/>
              </w:rPr>
              <w:t>п</w:t>
            </w:r>
            <w:proofErr w:type="gramEnd"/>
            <w:r w:rsidRPr="00D753BB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261" w:type="dxa"/>
            <w:vMerge w:val="restart"/>
          </w:tcPr>
          <w:p w:rsidR="00FF773F" w:rsidRPr="00D753BB" w:rsidRDefault="001F22CD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Наименование ключевого мероприятия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Предусмотрено    на 201</w:t>
            </w:r>
            <w:r w:rsidR="00CB0BB8" w:rsidRPr="00D753BB">
              <w:rPr>
                <w:b/>
                <w:sz w:val="23"/>
                <w:szCs w:val="23"/>
              </w:rPr>
              <w:t>9</w:t>
            </w:r>
            <w:r w:rsidRPr="00D753BB">
              <w:rPr>
                <w:b/>
                <w:sz w:val="23"/>
                <w:szCs w:val="23"/>
              </w:rPr>
              <w:t xml:space="preserve"> год</w:t>
            </w:r>
          </w:p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(тыс. рублей)</w:t>
            </w:r>
          </w:p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72" w:type="dxa"/>
            <w:vMerge w:val="restart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Освоено с начала 201</w:t>
            </w:r>
            <w:r w:rsidR="00CB0BB8" w:rsidRPr="00D753BB">
              <w:rPr>
                <w:b/>
                <w:sz w:val="23"/>
                <w:szCs w:val="23"/>
              </w:rPr>
              <w:t xml:space="preserve">9 </w:t>
            </w:r>
            <w:r w:rsidRPr="00D753BB">
              <w:rPr>
                <w:b/>
                <w:sz w:val="23"/>
                <w:szCs w:val="23"/>
              </w:rPr>
              <w:t>года</w:t>
            </w:r>
          </w:p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(тыс. рублей)</w:t>
            </w:r>
          </w:p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Кассовые расходы и фактические расходы                    за 201</w:t>
            </w:r>
            <w:r w:rsidR="00CB0BB8" w:rsidRPr="00D753BB">
              <w:rPr>
                <w:b/>
                <w:sz w:val="23"/>
                <w:szCs w:val="23"/>
              </w:rPr>
              <w:t xml:space="preserve">9 </w:t>
            </w:r>
            <w:r w:rsidRPr="00D753BB">
              <w:rPr>
                <w:b/>
                <w:sz w:val="23"/>
                <w:szCs w:val="23"/>
              </w:rPr>
              <w:t>г.</w:t>
            </w:r>
          </w:p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(тыс. рублей)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Краткое описание ожидаемого результата реализации ключевого мероприятия</w:t>
            </w:r>
          </w:p>
        </w:tc>
      </w:tr>
      <w:tr w:rsidR="00FF773F" w:rsidRPr="00D753BB" w:rsidTr="00D753BB">
        <w:trPr>
          <w:gridBefore w:val="1"/>
          <w:wBefore w:w="318" w:type="dxa"/>
          <w:trHeight w:val="264"/>
          <w:tblHeader/>
        </w:trPr>
        <w:tc>
          <w:tcPr>
            <w:tcW w:w="533" w:type="dxa"/>
            <w:vMerge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9" w:type="dxa"/>
            <w:vMerge w:val="restart"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ожидаемый результат</w:t>
            </w:r>
          </w:p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к концу 20</w:t>
            </w:r>
            <w:r w:rsidR="00CB0BB8" w:rsidRPr="00D753BB">
              <w:rPr>
                <w:b/>
                <w:sz w:val="23"/>
                <w:szCs w:val="23"/>
              </w:rPr>
              <w:t>19</w:t>
            </w:r>
            <w:r w:rsidRPr="00D753BB">
              <w:rPr>
                <w:b/>
                <w:sz w:val="23"/>
                <w:szCs w:val="23"/>
              </w:rPr>
              <w:t xml:space="preserve"> года </w:t>
            </w:r>
            <w:r w:rsidRPr="00D753BB">
              <w:rPr>
                <w:b/>
                <w:sz w:val="23"/>
                <w:szCs w:val="23"/>
              </w:rPr>
              <w:br/>
              <w:t>(за счет всех источников финансирования)</w:t>
            </w:r>
          </w:p>
        </w:tc>
        <w:tc>
          <w:tcPr>
            <w:tcW w:w="2551" w:type="dxa"/>
            <w:vMerge w:val="restart"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фактический результат</w:t>
            </w:r>
          </w:p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на отчетную дату</w:t>
            </w:r>
          </w:p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(за счет всех источников финансирования)</w:t>
            </w:r>
          </w:p>
        </w:tc>
      </w:tr>
      <w:tr w:rsidR="00FF773F" w:rsidRPr="00D753BB" w:rsidTr="001009A0">
        <w:trPr>
          <w:gridBefore w:val="1"/>
          <w:wBefore w:w="318" w:type="dxa"/>
          <w:trHeight w:val="585"/>
          <w:tblHeader/>
        </w:trPr>
        <w:tc>
          <w:tcPr>
            <w:tcW w:w="533" w:type="dxa"/>
            <w:vMerge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2689" w:type="dxa"/>
            <w:vMerge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F773F" w:rsidRPr="00D753BB" w:rsidTr="001009A0">
        <w:trPr>
          <w:gridBefore w:val="1"/>
          <w:wBefore w:w="318" w:type="dxa"/>
          <w:trHeight w:val="615"/>
          <w:tblHeader/>
        </w:trPr>
        <w:tc>
          <w:tcPr>
            <w:tcW w:w="533" w:type="dxa"/>
            <w:vMerge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bCs/>
                <w:sz w:val="23"/>
                <w:szCs w:val="23"/>
              </w:rPr>
              <w:t xml:space="preserve">Бюджеты субъектов РФ </w:t>
            </w:r>
            <w:r w:rsidRPr="00D753BB">
              <w:rPr>
                <w:b/>
                <w:bCs/>
                <w:sz w:val="23"/>
                <w:szCs w:val="23"/>
              </w:rPr>
              <w:br/>
              <w:t>и местные бюджеты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bCs/>
                <w:sz w:val="23"/>
                <w:szCs w:val="23"/>
              </w:rPr>
              <w:t xml:space="preserve">Бюджеты субъектов РФ </w:t>
            </w:r>
            <w:r w:rsidRPr="00D753BB">
              <w:rPr>
                <w:b/>
                <w:bCs/>
                <w:sz w:val="23"/>
                <w:szCs w:val="23"/>
              </w:rPr>
              <w:br/>
              <w:t>и местные бюджеты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bCs/>
                <w:sz w:val="23"/>
                <w:szCs w:val="23"/>
              </w:rPr>
              <w:t xml:space="preserve">Бюджеты субъектов РФ </w:t>
            </w:r>
            <w:r w:rsidRPr="00D753BB">
              <w:rPr>
                <w:b/>
                <w:bCs/>
                <w:sz w:val="23"/>
                <w:szCs w:val="23"/>
              </w:rPr>
              <w:br/>
              <w:t>и местные бюджеты</w:t>
            </w:r>
          </w:p>
        </w:tc>
        <w:tc>
          <w:tcPr>
            <w:tcW w:w="2689" w:type="dxa"/>
            <w:vMerge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F773F" w:rsidRPr="00D753BB" w:rsidTr="001009A0">
        <w:trPr>
          <w:gridBefore w:val="1"/>
          <w:wBefore w:w="318" w:type="dxa"/>
          <w:trHeight w:val="454"/>
          <w:tblHeader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bCs/>
                <w:sz w:val="23"/>
                <w:szCs w:val="23"/>
              </w:rPr>
              <w:t>Внебюджетные источники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bCs/>
                <w:sz w:val="23"/>
                <w:szCs w:val="23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bCs/>
                <w:sz w:val="23"/>
                <w:szCs w:val="23"/>
              </w:rPr>
              <w:t>Внебюджетные источники</w:t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F773F" w:rsidRPr="00D753BB" w:rsidRDefault="00FF773F" w:rsidP="001009A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F773F" w:rsidRPr="00D753BB" w:rsidTr="001009A0">
        <w:trPr>
          <w:gridBefore w:val="1"/>
          <w:wBefore w:w="318" w:type="dxa"/>
          <w:tblHeader/>
        </w:trPr>
        <w:tc>
          <w:tcPr>
            <w:tcW w:w="533" w:type="dxa"/>
          </w:tcPr>
          <w:p w:rsidR="00FF773F" w:rsidRPr="00D753BB" w:rsidRDefault="00FF773F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</w:t>
            </w:r>
          </w:p>
        </w:tc>
        <w:tc>
          <w:tcPr>
            <w:tcW w:w="3261" w:type="dxa"/>
          </w:tcPr>
          <w:p w:rsidR="00FF773F" w:rsidRPr="00D753BB" w:rsidRDefault="00FF773F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FF773F" w:rsidRPr="00D753BB" w:rsidRDefault="00FF773F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</w:t>
            </w:r>
          </w:p>
        </w:tc>
        <w:tc>
          <w:tcPr>
            <w:tcW w:w="2272" w:type="dxa"/>
          </w:tcPr>
          <w:p w:rsidR="00FF773F" w:rsidRPr="00D753BB" w:rsidRDefault="00FF773F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  <w:gridSpan w:val="2"/>
          </w:tcPr>
          <w:p w:rsidR="00FF773F" w:rsidRPr="00D753BB" w:rsidRDefault="00FF773F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5</w:t>
            </w:r>
          </w:p>
        </w:tc>
        <w:tc>
          <w:tcPr>
            <w:tcW w:w="2689" w:type="dxa"/>
          </w:tcPr>
          <w:p w:rsidR="00FF773F" w:rsidRPr="00D753BB" w:rsidRDefault="00FF773F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6</w:t>
            </w:r>
          </w:p>
        </w:tc>
        <w:tc>
          <w:tcPr>
            <w:tcW w:w="2551" w:type="dxa"/>
          </w:tcPr>
          <w:p w:rsidR="00FF773F" w:rsidRPr="00D753BB" w:rsidRDefault="00FF773F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7</w:t>
            </w:r>
          </w:p>
        </w:tc>
      </w:tr>
      <w:tr w:rsidR="00816EA6" w:rsidRPr="00D753BB" w:rsidTr="001009A0">
        <w:trPr>
          <w:gridBefore w:val="1"/>
          <w:wBefore w:w="318" w:type="dxa"/>
          <w:trHeight w:val="225"/>
        </w:trPr>
        <w:tc>
          <w:tcPr>
            <w:tcW w:w="533" w:type="dxa"/>
          </w:tcPr>
          <w:p w:rsidR="00816EA6" w:rsidRPr="00D753BB" w:rsidRDefault="00816EA6" w:rsidP="001009A0">
            <w:pPr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5451" w:type="dxa"/>
            <w:gridSpan w:val="7"/>
          </w:tcPr>
          <w:p w:rsidR="00816EA6" w:rsidRPr="00D753BB" w:rsidRDefault="00816EA6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по направлению  «капитальные вложения»</w:t>
            </w:r>
          </w:p>
        </w:tc>
      </w:tr>
      <w:tr w:rsidR="00816EA6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816EA6" w:rsidRPr="00D753BB" w:rsidRDefault="00816EA6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451" w:type="dxa"/>
            <w:gridSpan w:val="7"/>
          </w:tcPr>
          <w:p w:rsidR="00816EA6" w:rsidRPr="00D753BB" w:rsidRDefault="00816EA6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Направление (подпрограмма) «Железнодорожный транспорт»</w:t>
            </w:r>
          </w:p>
        </w:tc>
      </w:tr>
      <w:tr w:rsidR="00CB0BB8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  <w:vMerge w:val="restart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 w:val="restart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Комплексная реконструкция участка Трубная – </w:t>
            </w:r>
            <w:proofErr w:type="spellStart"/>
            <w:r w:rsidRPr="00D753BB">
              <w:rPr>
                <w:sz w:val="23"/>
                <w:szCs w:val="23"/>
              </w:rPr>
              <w:t>В.Баскунчак</w:t>
            </w:r>
            <w:proofErr w:type="spellEnd"/>
            <w:r w:rsidRPr="00D753BB">
              <w:rPr>
                <w:sz w:val="23"/>
                <w:szCs w:val="23"/>
              </w:rPr>
              <w:t xml:space="preserve"> – Аксарайская</w:t>
            </w:r>
          </w:p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 w:val="restart"/>
          </w:tcPr>
          <w:p w:rsidR="00CB0BB8" w:rsidRPr="00D753BB" w:rsidRDefault="00CB0BB8" w:rsidP="001009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Предусматривается </w:t>
            </w:r>
            <w:r w:rsidRPr="00D753BB">
              <w:rPr>
                <w:color w:val="000000" w:themeColor="text1"/>
                <w:sz w:val="23"/>
                <w:szCs w:val="23"/>
              </w:rPr>
              <w:t xml:space="preserve">ввод в эксплуатацию 14 км вторых путей на перегоне  Ленинск – </w:t>
            </w:r>
            <w:proofErr w:type="spellStart"/>
            <w:r w:rsidRPr="00D753BB">
              <w:rPr>
                <w:color w:val="000000" w:themeColor="text1"/>
                <w:sz w:val="23"/>
                <w:szCs w:val="23"/>
              </w:rPr>
              <w:t>Заплавное</w:t>
            </w:r>
            <w:proofErr w:type="spellEnd"/>
            <w:r w:rsidRPr="00D753BB">
              <w:rPr>
                <w:color w:val="000000" w:themeColor="text1"/>
                <w:sz w:val="23"/>
                <w:szCs w:val="23"/>
              </w:rPr>
              <w:t xml:space="preserve"> и моста через  р. Ахтуба.</w:t>
            </w:r>
          </w:p>
        </w:tc>
        <w:tc>
          <w:tcPr>
            <w:tcW w:w="2551" w:type="dxa"/>
            <w:vMerge w:val="restart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Продолжалось выполнение работ по строительству моста Ахтуба, работы по проектированию и получению исходно разрешительной документации по объекту «Комплексная реконструкция участка Трубная - Верхний Баскунчак - Аксарайская </w:t>
            </w:r>
            <w:r w:rsidRPr="00D753BB">
              <w:rPr>
                <w:sz w:val="23"/>
                <w:szCs w:val="23"/>
              </w:rPr>
              <w:lastRenderedPageBreak/>
              <w:t xml:space="preserve">Приволжской железной дороги. Удлинение путей на станции </w:t>
            </w:r>
            <w:proofErr w:type="gramStart"/>
            <w:r w:rsidRPr="00D753BB">
              <w:rPr>
                <w:sz w:val="23"/>
                <w:szCs w:val="23"/>
              </w:rPr>
              <w:t>Волжский</w:t>
            </w:r>
            <w:proofErr w:type="gramEnd"/>
            <w:r w:rsidRPr="00D753BB">
              <w:rPr>
                <w:sz w:val="23"/>
                <w:szCs w:val="23"/>
              </w:rPr>
              <w:t xml:space="preserve"> (Трубная) с включением в МПЦ»</w:t>
            </w:r>
          </w:p>
        </w:tc>
      </w:tr>
      <w:tr w:rsidR="00CB0BB8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  <w:vMerge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CB0BB8" w:rsidRPr="00D753BB" w:rsidTr="001009A0">
        <w:trPr>
          <w:gridBefore w:val="1"/>
          <w:wBefore w:w="318" w:type="dxa"/>
          <w:trHeight w:val="120"/>
        </w:trPr>
        <w:tc>
          <w:tcPr>
            <w:tcW w:w="533" w:type="dxa"/>
            <w:vMerge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3 269 300,0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141 327,6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191 988,9</w:t>
            </w:r>
          </w:p>
        </w:tc>
        <w:tc>
          <w:tcPr>
            <w:tcW w:w="2689" w:type="dxa"/>
            <w:vMerge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CB0BB8" w:rsidRPr="00D753BB" w:rsidTr="001009A0">
        <w:trPr>
          <w:gridBefore w:val="1"/>
          <w:wBefore w:w="318" w:type="dxa"/>
          <w:trHeight w:val="120"/>
        </w:trPr>
        <w:tc>
          <w:tcPr>
            <w:tcW w:w="533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«Создание сухогрузного района морского порта Тамань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CB0BB8" w:rsidRPr="00D753BB" w:rsidTr="001009A0">
        <w:trPr>
          <w:gridBefore w:val="1"/>
          <w:wBefore w:w="318" w:type="dxa"/>
          <w:trHeight w:val="120"/>
        </w:trPr>
        <w:tc>
          <w:tcPr>
            <w:tcW w:w="533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3 671 312,7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976,3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976,3</w:t>
            </w:r>
          </w:p>
        </w:tc>
        <w:tc>
          <w:tcPr>
            <w:tcW w:w="2689" w:type="dxa"/>
            <w:vMerge w:val="restart"/>
          </w:tcPr>
          <w:p w:rsidR="00CB0BB8" w:rsidRPr="00D753BB" w:rsidRDefault="00CB0BB8" w:rsidP="001009A0">
            <w:pPr>
              <w:ind w:left="-102" w:right="-101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Окончание строительства железнодорожного подхода к транспортному переходу через Керченский пролив со стороны Таманского полуострова, обеспечение возможности открытия движения грузовых и пассажирских поездов до 1 июля 2019 г.</w:t>
            </w:r>
          </w:p>
        </w:tc>
        <w:tc>
          <w:tcPr>
            <w:tcW w:w="2551" w:type="dxa"/>
            <w:vMerge w:val="restart"/>
          </w:tcPr>
          <w:p w:rsidR="00CB0BB8" w:rsidRPr="00D753BB" w:rsidRDefault="00CB0BB8" w:rsidP="001009A0">
            <w:pPr>
              <w:ind w:firstLine="27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За 2019 год   освоение за счет всех источников финансирования составило 0,03% от годового задания.</w:t>
            </w:r>
          </w:p>
          <w:p w:rsidR="00CB0BB8" w:rsidRPr="00D753BB" w:rsidRDefault="00CB0BB8" w:rsidP="001009A0">
            <w:pPr>
              <w:tabs>
                <w:tab w:val="left" w:pos="1134"/>
              </w:tabs>
              <w:ind w:firstLine="27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Степень строительной готовности составляет 85%.</w:t>
            </w:r>
          </w:p>
          <w:p w:rsidR="00CB0BB8" w:rsidRPr="00D753BB" w:rsidRDefault="00CB0BB8" w:rsidP="001009A0">
            <w:pPr>
              <w:tabs>
                <w:tab w:val="left" w:pos="1134"/>
              </w:tabs>
              <w:ind w:firstLine="27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К основным оставшимся работам относятся:</w:t>
            </w:r>
          </w:p>
          <w:p w:rsidR="00CB0BB8" w:rsidRPr="00D753BB" w:rsidRDefault="00CB0BB8" w:rsidP="001009A0">
            <w:pPr>
              <w:tabs>
                <w:tab w:val="left" w:pos="1134"/>
              </w:tabs>
              <w:ind w:firstLine="27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 xml:space="preserve">- монтаж оборудования и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 xml:space="preserve">завершение отдельных работ на зданиях и сооружениях ст. </w:t>
            </w:r>
            <w:proofErr w:type="gramStart"/>
            <w:r w:rsidRPr="00D753BB">
              <w:rPr>
                <w:spacing w:val="2"/>
                <w:sz w:val="23"/>
                <w:szCs w:val="23"/>
              </w:rPr>
              <w:t>Тамань-Пассажирская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>;</w:t>
            </w:r>
          </w:p>
          <w:p w:rsidR="00CB0BB8" w:rsidRPr="00D753BB" w:rsidRDefault="00CB0BB8" w:rsidP="001009A0">
            <w:pPr>
              <w:tabs>
                <w:tab w:val="left" w:pos="1134"/>
              </w:tabs>
              <w:ind w:firstLine="27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- завершение работ по устройству шумозащитных экранов;</w:t>
            </w:r>
          </w:p>
          <w:p w:rsidR="00CB0BB8" w:rsidRPr="00D753BB" w:rsidRDefault="00CB0BB8" w:rsidP="001009A0">
            <w:pPr>
              <w:tabs>
                <w:tab w:val="left" w:pos="1134"/>
              </w:tabs>
              <w:ind w:firstLine="27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- строительство дома отдыха локомотивных бригад;</w:t>
            </w:r>
          </w:p>
          <w:p w:rsidR="00CB0BB8" w:rsidRPr="00D753BB" w:rsidRDefault="00CB0BB8" w:rsidP="001009A0">
            <w:pPr>
              <w:tabs>
                <w:tab w:val="left" w:pos="1134"/>
              </w:tabs>
              <w:ind w:firstLine="27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- строительство здания стрелковой команды и отельного караула на ст. </w:t>
            </w:r>
            <w:proofErr w:type="gramStart"/>
            <w:r w:rsidRPr="00D753BB">
              <w:rPr>
                <w:spacing w:val="2"/>
                <w:sz w:val="23"/>
                <w:szCs w:val="23"/>
              </w:rPr>
              <w:t>Тамань-Пассажирская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>;</w:t>
            </w:r>
          </w:p>
          <w:p w:rsidR="00CB0BB8" w:rsidRPr="00D753BB" w:rsidRDefault="00CB0BB8" w:rsidP="001009A0">
            <w:pPr>
              <w:tabs>
                <w:tab w:val="left" w:pos="1134"/>
              </w:tabs>
              <w:ind w:firstLine="27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 xml:space="preserve">- строительство котельной, очистных сооружений, пожарного и хозяйственно-питьевого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водоснабжения;</w:t>
            </w:r>
          </w:p>
          <w:p w:rsidR="00CB0BB8" w:rsidRPr="00D753BB" w:rsidRDefault="00CB0BB8" w:rsidP="001009A0">
            <w:pPr>
              <w:tabs>
                <w:tab w:val="left" w:pos="1134"/>
              </w:tabs>
              <w:ind w:firstLine="27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 xml:space="preserve">- систем транспортной безопасности ст. </w:t>
            </w:r>
            <w:proofErr w:type="gramStart"/>
            <w:r w:rsidRPr="00D753BB">
              <w:rPr>
                <w:spacing w:val="2"/>
                <w:sz w:val="23"/>
                <w:szCs w:val="23"/>
              </w:rPr>
              <w:t>Тамань-Пассажирская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>;</w:t>
            </w:r>
          </w:p>
          <w:p w:rsidR="00CB0BB8" w:rsidRPr="00D753BB" w:rsidRDefault="00CB0BB8" w:rsidP="001009A0">
            <w:pPr>
              <w:ind w:firstLine="27"/>
              <w:jc w:val="center"/>
              <w:rPr>
                <w:spacing w:val="-6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- автомобильная дорога к зоне дополнительного досмотра.</w:t>
            </w:r>
          </w:p>
        </w:tc>
      </w:tr>
      <w:tr w:rsidR="00CB0BB8" w:rsidRPr="00D753BB" w:rsidTr="001009A0">
        <w:trPr>
          <w:gridBefore w:val="1"/>
          <w:wBefore w:w="318" w:type="dxa"/>
          <w:trHeight w:val="120"/>
        </w:trPr>
        <w:tc>
          <w:tcPr>
            <w:tcW w:w="533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бюджеты субъектов РФ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CB0BB8" w:rsidRPr="00D753BB" w:rsidRDefault="00CB0BB8" w:rsidP="001009A0">
            <w:pPr>
              <w:ind w:left="-102" w:right="-10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CB0BB8" w:rsidRPr="00D753BB" w:rsidRDefault="00CB0BB8" w:rsidP="001009A0">
            <w:pPr>
              <w:ind w:right="-101" w:firstLine="27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B0BB8" w:rsidRPr="00D753BB" w:rsidTr="001009A0">
        <w:trPr>
          <w:gridBefore w:val="1"/>
          <w:wBefore w:w="318" w:type="dxa"/>
          <w:trHeight w:val="120"/>
        </w:trPr>
        <w:tc>
          <w:tcPr>
            <w:tcW w:w="533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D753BB">
              <w:rPr>
                <w:sz w:val="23"/>
                <w:szCs w:val="23"/>
              </w:rPr>
              <w:t>внебюджетные источники (В рамках направления «Морской и речной транспорт»</w:t>
            </w:r>
            <w:proofErr w:type="gramEnd"/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CB0BB8" w:rsidRPr="00D753BB" w:rsidRDefault="00CB0BB8" w:rsidP="001009A0">
            <w:pPr>
              <w:ind w:left="-102" w:right="-10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CB0BB8" w:rsidRPr="00D753BB" w:rsidRDefault="00CB0BB8" w:rsidP="001009A0">
            <w:pPr>
              <w:ind w:right="-101" w:firstLine="27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B0BB8" w:rsidRPr="00D753BB" w:rsidTr="001009A0">
        <w:trPr>
          <w:gridBefore w:val="1"/>
          <w:wBefore w:w="318" w:type="dxa"/>
          <w:trHeight w:val="120"/>
        </w:trPr>
        <w:tc>
          <w:tcPr>
            <w:tcW w:w="533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«Комплексное развитие Новороссийского транспортного узла (Краснодарский край)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  <w:vMerge w:val="restart"/>
          </w:tcPr>
          <w:p w:rsidR="00CB0BB8" w:rsidRPr="00D753BB" w:rsidRDefault="00CB0BB8" w:rsidP="001009A0">
            <w:pPr>
              <w:ind w:left="-102" w:right="-101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Завершение корректировки ПСД, завершение работ, влияющих на безопасность</w:t>
            </w:r>
          </w:p>
        </w:tc>
        <w:tc>
          <w:tcPr>
            <w:tcW w:w="2551" w:type="dxa"/>
            <w:vMerge w:val="restart"/>
          </w:tcPr>
          <w:p w:rsidR="00CB0BB8" w:rsidRPr="00D753BB" w:rsidRDefault="00CB0BB8" w:rsidP="001009A0">
            <w:pPr>
              <w:suppressAutoHyphens/>
              <w:jc w:val="center"/>
              <w:rPr>
                <w:b/>
                <w:bCs/>
                <w:color w:val="000000"/>
                <w:sz w:val="23"/>
                <w:szCs w:val="23"/>
                <w:u w:val="single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«</w:t>
            </w:r>
            <w:proofErr w:type="spellStart"/>
            <w:r w:rsidRPr="00D753BB">
              <w:rPr>
                <w:b/>
                <w:bCs/>
                <w:color w:val="000000"/>
                <w:sz w:val="23"/>
                <w:szCs w:val="23"/>
                <w:u w:val="single"/>
              </w:rPr>
              <w:t>Подпроект</w:t>
            </w:r>
            <w:proofErr w:type="spellEnd"/>
            <w:r w:rsidRPr="00D753BB">
              <w:rPr>
                <w:b/>
                <w:bCs/>
                <w:color w:val="000000"/>
                <w:sz w:val="23"/>
                <w:szCs w:val="23"/>
                <w:u w:val="single"/>
              </w:rPr>
              <w:t xml:space="preserve"> 3. Создание объектов железнодорожной инфраструктуры за счет федеральных средств. Строительство станции в районе разъезда 9 км Северо-Кавказской железной дороги»</w:t>
            </w:r>
          </w:p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 xml:space="preserve">За 2019 год   освоение за счет всех источников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финансирования составило 0% от годового задания.</w:t>
            </w:r>
          </w:p>
          <w:p w:rsidR="00CB0BB8" w:rsidRPr="00D753BB" w:rsidRDefault="00CB0BB8" w:rsidP="001009A0">
            <w:pPr>
              <w:tabs>
                <w:tab w:val="left" w:pos="1134"/>
              </w:tabs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sz w:val="23"/>
                <w:szCs w:val="23"/>
              </w:rPr>
              <w:t xml:space="preserve">Постановлением Правительства Российской Федерации от 14.11.2018 № 1366 «О внесении изменений в приложение № 5 к государственной программе Российской Федерации «Развитие транспортной системы» срок ввода объекта в эксплуатацию перенесен с 2018 на 2019 год для завершения регистрации права собственности </w:t>
            </w:r>
            <w:r w:rsidRPr="00D753BB">
              <w:rPr>
                <w:sz w:val="23"/>
                <w:szCs w:val="23"/>
              </w:rPr>
              <w:lastRenderedPageBreak/>
              <w:t>Российской Федерации на все объекты недвижимости, расположенные в границах зоны размещения линейного объекта (в границах «красных линий» объекта федерального значения).</w:t>
            </w:r>
            <w:proofErr w:type="gramEnd"/>
          </w:p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В целях перехода права собственности в пользу Российской Федерации по четырём объектам недвижимого имущества, изъятым в собственность Российской Федерации, производится их оформление в постоянное </w:t>
            </w:r>
            <w:r w:rsidRPr="00D753BB">
              <w:rPr>
                <w:sz w:val="23"/>
                <w:szCs w:val="23"/>
              </w:rPr>
              <w:lastRenderedPageBreak/>
              <w:t>(бессрочное) пользование Учреждения.</w:t>
            </w:r>
          </w:p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По 13 объектам недвижимости, правообладатели которых отказались от заключения соглашения об изъятии недвижимости для государственных нужд, ведётся судебный процесс для их принудительного изъятия. Выкуп будет осуществлен после определения размера возмещения в судебном порядке. По 2-ум из указанных объектов недвижимости </w:t>
            </w:r>
            <w:r w:rsidRPr="00D753BB">
              <w:rPr>
                <w:sz w:val="23"/>
                <w:szCs w:val="23"/>
              </w:rPr>
              <w:lastRenderedPageBreak/>
              <w:t>получены соответствующие судебные решения. В целях перехода права собственности Российской Федерации на указанные земельные участки в настоящее время осуществляется сбор документов собственниками объектов недвижимости для перечисления размера возмещения на банковские счета правообладателей.</w:t>
            </w:r>
          </w:p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Завершение вышеуказанных мероприятий в кратчайшие сроки </w:t>
            </w:r>
            <w:r w:rsidRPr="00D753BB">
              <w:rPr>
                <w:sz w:val="23"/>
                <w:szCs w:val="23"/>
              </w:rPr>
              <w:lastRenderedPageBreak/>
              <w:t>позволит в 2019 году получить заключение о соответствии параметров построенного объекта капитального строительства проектной документации (ЗОС), необходимое для ввода объекта в постоянную эксплуатацию с последующей регистрацией права собственности Российской Федерации.</w:t>
            </w:r>
          </w:p>
          <w:p w:rsidR="00CB0BB8" w:rsidRPr="00D753BB" w:rsidRDefault="00CB0BB8" w:rsidP="001009A0">
            <w:pPr>
              <w:ind w:firstLine="27"/>
              <w:jc w:val="center"/>
              <w:rPr>
                <w:b/>
                <w:color w:val="000000"/>
                <w:sz w:val="23"/>
                <w:szCs w:val="23"/>
                <w:u w:val="single"/>
              </w:rPr>
            </w:pPr>
            <w:r w:rsidRPr="00D753BB">
              <w:rPr>
                <w:b/>
                <w:color w:val="000000"/>
                <w:sz w:val="23"/>
                <w:szCs w:val="23"/>
                <w:u w:val="single"/>
              </w:rPr>
              <w:t xml:space="preserve">«Строительство железнодорожных парков и развитие железнодорожной станции </w:t>
            </w:r>
            <w:r w:rsidRPr="00D753BB">
              <w:rPr>
                <w:b/>
                <w:color w:val="000000"/>
                <w:sz w:val="23"/>
                <w:szCs w:val="23"/>
                <w:u w:val="single"/>
              </w:rPr>
              <w:lastRenderedPageBreak/>
              <w:t>Новороссийск Северо-Кавказской железной дороги»</w:t>
            </w:r>
          </w:p>
          <w:p w:rsidR="00CB0BB8" w:rsidRPr="00D753BB" w:rsidRDefault="00CB0BB8" w:rsidP="001009A0">
            <w:pPr>
              <w:ind w:firstLine="27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За 2019 год   освоение за счет всех источников финансирования составило 0,11% от годового задания.</w:t>
            </w:r>
          </w:p>
          <w:p w:rsidR="00CB0BB8" w:rsidRPr="00D753BB" w:rsidRDefault="00CB0BB8" w:rsidP="001009A0">
            <w:pPr>
              <w:ind w:firstLine="27"/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spacing w:val="4"/>
                <w:sz w:val="23"/>
                <w:szCs w:val="23"/>
              </w:rPr>
              <w:t xml:space="preserve">В связи с систематическим нарушением промежуточных сроков выполнения строительно-монтажных работ </w:t>
            </w:r>
            <w:r w:rsidRPr="00D753BB">
              <w:rPr>
                <w:spacing w:val="-5"/>
                <w:sz w:val="23"/>
                <w:szCs w:val="23"/>
              </w:rPr>
              <w:t>и разработки рабочей документации</w:t>
            </w:r>
            <w:r w:rsidRPr="00D753BB">
              <w:rPr>
                <w:spacing w:val="4"/>
                <w:sz w:val="23"/>
                <w:szCs w:val="23"/>
              </w:rPr>
              <w:t xml:space="preserve">, а также в связи с введением процедуры наблюдения в рамках дела о </w:t>
            </w:r>
            <w:r w:rsidRPr="00D753BB">
              <w:rPr>
                <w:spacing w:val="4"/>
                <w:sz w:val="23"/>
                <w:szCs w:val="23"/>
              </w:rPr>
              <w:lastRenderedPageBreak/>
              <w:t>несостоятельности (банкротстве) общества с ограниченной ответственностью «</w:t>
            </w:r>
            <w:proofErr w:type="spellStart"/>
            <w:r w:rsidRPr="00D753BB">
              <w:rPr>
                <w:spacing w:val="4"/>
                <w:sz w:val="23"/>
                <w:szCs w:val="23"/>
              </w:rPr>
              <w:t>Стройновация</w:t>
            </w:r>
            <w:proofErr w:type="spellEnd"/>
            <w:r w:rsidRPr="00D753BB">
              <w:rPr>
                <w:spacing w:val="4"/>
                <w:sz w:val="23"/>
                <w:szCs w:val="23"/>
              </w:rPr>
              <w:t xml:space="preserve">» (далее – Подрядчик), </w:t>
            </w:r>
            <w:r w:rsidRPr="00D753BB">
              <w:rPr>
                <w:sz w:val="23"/>
                <w:szCs w:val="23"/>
              </w:rPr>
              <w:t>Учреждение обратилось в Арбитражный суд г. Санкт-Петербурга и Ленинградской области с требованием о включении в реестр требований кредиторов неустоек, начисленных в результате нарушения Подрядчиком обязательств</w:t>
            </w:r>
            <w:proofErr w:type="gramEnd"/>
            <w:r w:rsidRPr="00D753BB">
              <w:rPr>
                <w:sz w:val="23"/>
                <w:szCs w:val="23"/>
              </w:rPr>
              <w:t xml:space="preserve"> по государственному контракту </w:t>
            </w:r>
            <w:r w:rsidRPr="00D753BB">
              <w:rPr>
                <w:spacing w:val="4"/>
                <w:sz w:val="23"/>
                <w:szCs w:val="23"/>
              </w:rPr>
              <w:t xml:space="preserve">от </w:t>
            </w:r>
            <w:r w:rsidRPr="00D753BB">
              <w:rPr>
                <w:spacing w:val="4"/>
                <w:sz w:val="23"/>
                <w:szCs w:val="23"/>
              </w:rPr>
              <w:lastRenderedPageBreak/>
              <w:t>25.12.2014 № РТМ-89/14</w:t>
            </w:r>
            <w:r w:rsidRPr="00D753BB">
              <w:rPr>
                <w:sz w:val="23"/>
                <w:szCs w:val="23"/>
              </w:rPr>
              <w:t>.</w:t>
            </w:r>
          </w:p>
          <w:p w:rsidR="00CB0BB8" w:rsidRPr="00D753BB" w:rsidRDefault="00CB0BB8" w:rsidP="001009A0">
            <w:pPr>
              <w:ind w:firstLine="27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4"/>
                <w:sz w:val="23"/>
                <w:szCs w:val="23"/>
              </w:rPr>
              <w:t>Г</w:t>
            </w:r>
            <w:r w:rsidRPr="00D753BB">
              <w:rPr>
                <w:spacing w:val="2"/>
                <w:sz w:val="23"/>
                <w:szCs w:val="23"/>
              </w:rPr>
              <w:t xml:space="preserve">осударственным заказчиком в лице Учреждения принято решение об одностороннем отказе от исполнения соответствующего 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госконтракта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 xml:space="preserve"> от 25.12.2014 № РТМ-89/14, направленное </w:t>
            </w:r>
            <w:r w:rsidRPr="00D753BB">
              <w:rPr>
                <w:sz w:val="23"/>
                <w:szCs w:val="23"/>
              </w:rPr>
              <w:t xml:space="preserve">Подрядчику </w:t>
            </w:r>
            <w:r w:rsidRPr="00D753BB">
              <w:rPr>
                <w:spacing w:val="2"/>
                <w:sz w:val="23"/>
                <w:szCs w:val="23"/>
              </w:rPr>
              <w:t>письмом от 31.01.2019 № ИГ-05/143. Решение вступило в силу 02.03.2019.</w:t>
            </w:r>
          </w:p>
          <w:p w:rsidR="00CB0BB8" w:rsidRPr="00D753BB" w:rsidRDefault="00CB0BB8" w:rsidP="001009A0">
            <w:pPr>
              <w:ind w:firstLine="27"/>
              <w:jc w:val="center"/>
              <w:rPr>
                <w:sz w:val="23"/>
                <w:szCs w:val="23"/>
              </w:rPr>
            </w:pPr>
            <w:r w:rsidRPr="00D753BB">
              <w:rPr>
                <w:spacing w:val="4"/>
                <w:sz w:val="23"/>
                <w:szCs w:val="23"/>
              </w:rPr>
              <w:t xml:space="preserve">Кроме того, Учреждением перечислен в доход федерального бюджета </w:t>
            </w:r>
            <w:r w:rsidRPr="00D753BB">
              <w:rPr>
                <w:spacing w:val="4"/>
                <w:sz w:val="23"/>
                <w:szCs w:val="23"/>
              </w:rPr>
              <w:lastRenderedPageBreak/>
              <w:t>обеспечительный платеж, предоставленный в рамках указанного контракта, в размере 862,3 млн. рублей в соответствии с платежным поручением Казначейства России от 04.02.2019 № 16956.</w:t>
            </w:r>
          </w:p>
          <w:p w:rsidR="00CB0BB8" w:rsidRPr="00D753BB" w:rsidRDefault="00CB0BB8" w:rsidP="001009A0">
            <w:pPr>
              <w:ind w:firstLine="27"/>
              <w:jc w:val="center"/>
              <w:rPr>
                <w:spacing w:val="4"/>
                <w:sz w:val="23"/>
                <w:szCs w:val="23"/>
              </w:rPr>
            </w:pPr>
            <w:r w:rsidRPr="00D753BB">
              <w:rPr>
                <w:spacing w:val="4"/>
                <w:sz w:val="23"/>
                <w:szCs w:val="23"/>
              </w:rPr>
              <w:t xml:space="preserve">В связи с прекращением работ на объекте и под воздействием естественных природных факторов возник риск потери результатов ранее выполненных и оплаченных работ, а </w:t>
            </w:r>
            <w:r w:rsidRPr="00D753BB">
              <w:rPr>
                <w:spacing w:val="4"/>
                <w:sz w:val="23"/>
                <w:szCs w:val="23"/>
              </w:rPr>
              <w:lastRenderedPageBreak/>
              <w:t>также возникновения аварийных ситуаций, препятствующих функционированию действующей железнодорожной инфраструктуры станции Новороссийск.</w:t>
            </w:r>
          </w:p>
        </w:tc>
      </w:tr>
      <w:tr w:rsidR="00CB0BB8" w:rsidRPr="00D753BB" w:rsidTr="001009A0">
        <w:trPr>
          <w:gridBefore w:val="1"/>
          <w:wBefore w:w="318" w:type="dxa"/>
          <w:trHeight w:val="120"/>
        </w:trPr>
        <w:tc>
          <w:tcPr>
            <w:tcW w:w="533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883 287,0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CB0BB8" w:rsidRPr="00D753BB" w:rsidRDefault="00CB0BB8" w:rsidP="001009A0">
            <w:pPr>
              <w:ind w:left="-102" w:right="-101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CB0BB8" w:rsidRPr="00D753BB" w:rsidRDefault="00CB0BB8" w:rsidP="001009A0">
            <w:pPr>
              <w:ind w:left="-102" w:right="-101"/>
              <w:jc w:val="center"/>
              <w:rPr>
                <w:sz w:val="23"/>
                <w:szCs w:val="23"/>
              </w:rPr>
            </w:pPr>
          </w:p>
        </w:tc>
      </w:tr>
      <w:tr w:rsidR="00CB0BB8" w:rsidRPr="00D753BB" w:rsidTr="001009A0">
        <w:trPr>
          <w:gridBefore w:val="1"/>
          <w:wBefore w:w="318" w:type="dxa"/>
          <w:trHeight w:val="120"/>
        </w:trPr>
        <w:tc>
          <w:tcPr>
            <w:tcW w:w="533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бюджеты субъектов РФ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CB0BB8" w:rsidRPr="00D753BB" w:rsidRDefault="00CB0BB8" w:rsidP="001009A0">
            <w:pPr>
              <w:ind w:left="-102" w:right="-101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CB0BB8" w:rsidRPr="00D753BB" w:rsidRDefault="00CB0BB8" w:rsidP="001009A0">
            <w:pPr>
              <w:ind w:left="-115" w:right="-101"/>
              <w:jc w:val="center"/>
              <w:rPr>
                <w:spacing w:val="2"/>
                <w:sz w:val="23"/>
                <w:szCs w:val="23"/>
              </w:rPr>
            </w:pPr>
          </w:p>
        </w:tc>
      </w:tr>
      <w:tr w:rsidR="00CB0BB8" w:rsidRPr="00D753BB" w:rsidTr="001009A0">
        <w:trPr>
          <w:gridBefore w:val="1"/>
          <w:wBefore w:w="318" w:type="dxa"/>
          <w:trHeight w:val="120"/>
        </w:trPr>
        <w:tc>
          <w:tcPr>
            <w:tcW w:w="533" w:type="dxa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CB0BB8" w:rsidRPr="00D753BB" w:rsidRDefault="00CB0BB8" w:rsidP="001009A0">
            <w:pPr>
              <w:ind w:left="-102" w:right="-10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CB0BB8" w:rsidRPr="00D753BB" w:rsidRDefault="00CB0BB8" w:rsidP="001009A0">
            <w:pPr>
              <w:ind w:left="-102" w:right="-101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B0BB8" w:rsidRPr="00D753BB" w:rsidTr="001009A0">
        <w:trPr>
          <w:gridBefore w:val="1"/>
          <w:wBefore w:w="318" w:type="dxa"/>
          <w:trHeight w:val="120"/>
        </w:trPr>
        <w:tc>
          <w:tcPr>
            <w:tcW w:w="15984" w:type="dxa"/>
            <w:gridSpan w:val="8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Направление (подпрограмма) «Дорожное хозяйство»</w:t>
            </w:r>
          </w:p>
        </w:tc>
      </w:tr>
      <w:tr w:rsidR="00CB0BB8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1.1</w:t>
            </w: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и реконструкция участков </w:t>
            </w:r>
            <w:proofErr w:type="gramStart"/>
            <w:r w:rsidRPr="00D753BB">
              <w:rPr>
                <w:sz w:val="23"/>
                <w:szCs w:val="23"/>
              </w:rPr>
              <w:t>автомобильной</w:t>
            </w:r>
            <w:proofErr w:type="gramEnd"/>
            <w:r w:rsidRPr="00D753BB">
              <w:rPr>
                <w:sz w:val="23"/>
                <w:szCs w:val="23"/>
              </w:rPr>
              <w:t xml:space="preserve"> дороги М-8 "Холмогоры" Москва - Ярославль - Вологда - Архангельск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4 709 562,3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1 013 600,3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1 013 600,3</w:t>
            </w:r>
          </w:p>
        </w:tc>
        <w:tc>
          <w:tcPr>
            <w:tcW w:w="2689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Фактическая готовность мероприятия за период реализации 2010-2021 годы ожидается на уровне 79,3 %</w:t>
            </w:r>
          </w:p>
        </w:tc>
        <w:tc>
          <w:tcPr>
            <w:tcW w:w="2551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Выполнение задания на 2019 год составляет 21,5 %</w:t>
            </w:r>
          </w:p>
        </w:tc>
      </w:tr>
      <w:tr w:rsidR="00CB0BB8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1.2</w:t>
            </w: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и реконструкция участков </w:t>
            </w:r>
            <w:proofErr w:type="gramStart"/>
            <w:r w:rsidRPr="00D753BB">
              <w:rPr>
                <w:sz w:val="23"/>
                <w:szCs w:val="23"/>
              </w:rPr>
              <w:t>автомобильной</w:t>
            </w:r>
            <w:proofErr w:type="gramEnd"/>
            <w:r w:rsidRPr="00D753BB">
              <w:rPr>
                <w:sz w:val="23"/>
                <w:szCs w:val="23"/>
              </w:rPr>
              <w:t xml:space="preserve"> дороги М-5 "Урал" Москва - Рязань - Пенза - Самара - Уфа - Челябинск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17 517 684,9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439 025,0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512 888,5</w:t>
            </w:r>
          </w:p>
        </w:tc>
        <w:tc>
          <w:tcPr>
            <w:tcW w:w="2689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Фактическая готовность мероприятия за период реализации 2010-2021 годы ожидается на уровне 95,4 %</w:t>
            </w:r>
          </w:p>
        </w:tc>
        <w:tc>
          <w:tcPr>
            <w:tcW w:w="2551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Выполнение задания на 2019 год составляет 2,5 %</w:t>
            </w:r>
          </w:p>
        </w:tc>
      </w:tr>
      <w:tr w:rsidR="00CB0BB8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1.3</w:t>
            </w: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и реконструкция участков </w:t>
            </w:r>
            <w:proofErr w:type="gramStart"/>
            <w:r w:rsidRPr="00D753BB">
              <w:rPr>
                <w:sz w:val="23"/>
                <w:szCs w:val="23"/>
              </w:rPr>
              <w:t>автомобильной</w:t>
            </w:r>
            <w:proofErr w:type="gramEnd"/>
            <w:r w:rsidRPr="00D753BB">
              <w:rPr>
                <w:sz w:val="23"/>
                <w:szCs w:val="23"/>
              </w:rPr>
              <w:t xml:space="preserve"> дороги М-7 "Волга" Москва - Владимир - Нижний Новгород - Казань - Уфа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8 348 296,0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351 730,4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401 737,2</w:t>
            </w:r>
          </w:p>
        </w:tc>
        <w:tc>
          <w:tcPr>
            <w:tcW w:w="2689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Фактическая готовность мероприятия за период реализации 2010-2021 годы ожидается на уровне 98,4 %</w:t>
            </w:r>
          </w:p>
        </w:tc>
        <w:tc>
          <w:tcPr>
            <w:tcW w:w="2551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Выполнение задания на 2019 год составляет 4,2 %</w:t>
            </w:r>
          </w:p>
        </w:tc>
      </w:tr>
      <w:tr w:rsidR="00CB0BB8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1.4</w:t>
            </w: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и реконструкция участков </w:t>
            </w:r>
            <w:proofErr w:type="gramStart"/>
            <w:r w:rsidRPr="00D753BB">
              <w:rPr>
                <w:sz w:val="23"/>
                <w:szCs w:val="23"/>
              </w:rPr>
              <w:t>автомобильной</w:t>
            </w:r>
            <w:proofErr w:type="gramEnd"/>
            <w:r w:rsidRPr="00D753BB">
              <w:rPr>
                <w:sz w:val="23"/>
                <w:szCs w:val="23"/>
              </w:rPr>
              <w:t xml:space="preserve"> дороги Р-217 "Кавказ" автомобильная дорога М-4 "Дон" - Владикавказ - Грозный - Махачкала - граница с Азербайджанской Республикой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16 796 585,4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988 386,6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988 386,6</w:t>
            </w:r>
          </w:p>
        </w:tc>
        <w:tc>
          <w:tcPr>
            <w:tcW w:w="2689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Фактическая готовность мероприятия за период реализации 2010-2021 годы ожидается на уровне 78,2 %</w:t>
            </w:r>
          </w:p>
        </w:tc>
        <w:tc>
          <w:tcPr>
            <w:tcW w:w="2551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Выполнение задания на 2019 год составляет 5,9 %</w:t>
            </w:r>
          </w:p>
        </w:tc>
      </w:tr>
      <w:tr w:rsidR="00CB0BB8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1.5</w:t>
            </w: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и реконструкция участков </w:t>
            </w:r>
            <w:proofErr w:type="gramStart"/>
            <w:r w:rsidRPr="00D753BB">
              <w:rPr>
                <w:sz w:val="23"/>
                <w:szCs w:val="23"/>
              </w:rPr>
              <w:t>автомобильной</w:t>
            </w:r>
            <w:proofErr w:type="gramEnd"/>
            <w:r w:rsidRPr="00D753BB">
              <w:rPr>
                <w:sz w:val="23"/>
                <w:szCs w:val="23"/>
              </w:rPr>
              <w:t xml:space="preserve"> дороги А-360 "Лена" Невер - Якутск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3 249 000,0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302 620,4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302 620,4</w:t>
            </w:r>
          </w:p>
        </w:tc>
        <w:tc>
          <w:tcPr>
            <w:tcW w:w="2689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Фактическая готовность мероприятия за период реализации 2010-2021 годы ожидается на уровне 86,6 %</w:t>
            </w:r>
          </w:p>
        </w:tc>
        <w:tc>
          <w:tcPr>
            <w:tcW w:w="2551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Выполнение задания на 2019 год составляет 9,3 %</w:t>
            </w:r>
          </w:p>
        </w:tc>
      </w:tr>
      <w:tr w:rsidR="00CB0BB8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1.6</w:t>
            </w: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и реконструкция участков </w:t>
            </w:r>
            <w:proofErr w:type="gramStart"/>
            <w:r w:rsidRPr="00D753BB">
              <w:rPr>
                <w:sz w:val="23"/>
                <w:szCs w:val="23"/>
              </w:rPr>
              <w:lastRenderedPageBreak/>
              <w:t>автомобильной</w:t>
            </w:r>
            <w:proofErr w:type="gramEnd"/>
            <w:r w:rsidRPr="00D753BB">
              <w:rPr>
                <w:sz w:val="23"/>
                <w:szCs w:val="23"/>
              </w:rPr>
              <w:t xml:space="preserve"> дороги А-370 "Уссури" Хабаровск - Владивосток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2 106 081,2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256 572,1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256 572,1</w:t>
            </w:r>
          </w:p>
        </w:tc>
        <w:tc>
          <w:tcPr>
            <w:tcW w:w="2689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 xml:space="preserve">Фактическая готовность мероприятия за период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реализации 2010-2021 годы ожидается на уровне 87,3 %</w:t>
            </w:r>
          </w:p>
        </w:tc>
        <w:tc>
          <w:tcPr>
            <w:tcW w:w="2551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lastRenderedPageBreak/>
              <w:t xml:space="preserve">Выполнение задания на 2019 год составляет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12,2 %</w:t>
            </w:r>
          </w:p>
        </w:tc>
      </w:tr>
      <w:tr w:rsidR="00CB0BB8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1.7</w:t>
            </w:r>
          </w:p>
        </w:tc>
        <w:tc>
          <w:tcPr>
            <w:tcW w:w="3261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и реконструкция участков </w:t>
            </w:r>
            <w:proofErr w:type="gramStart"/>
            <w:r w:rsidRPr="00D753BB">
              <w:rPr>
                <w:sz w:val="23"/>
                <w:szCs w:val="23"/>
              </w:rPr>
              <w:t>автомобильной</w:t>
            </w:r>
            <w:proofErr w:type="gramEnd"/>
            <w:r w:rsidRPr="00D753BB">
              <w:rPr>
                <w:sz w:val="23"/>
                <w:szCs w:val="23"/>
              </w:rPr>
              <w:t xml:space="preserve"> дороги А-290 Новороссийск - Керчь</w:t>
            </w:r>
          </w:p>
        </w:tc>
        <w:tc>
          <w:tcPr>
            <w:tcW w:w="2410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3 102 755,7</w:t>
            </w:r>
          </w:p>
        </w:tc>
        <w:tc>
          <w:tcPr>
            <w:tcW w:w="2272" w:type="dxa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10 759,2</w:t>
            </w:r>
          </w:p>
        </w:tc>
        <w:tc>
          <w:tcPr>
            <w:tcW w:w="2268" w:type="dxa"/>
            <w:gridSpan w:val="2"/>
          </w:tcPr>
          <w:p w:rsidR="00CB0BB8" w:rsidRPr="00D753BB" w:rsidRDefault="00CB0BB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321 174,9</w:t>
            </w:r>
          </w:p>
        </w:tc>
        <w:tc>
          <w:tcPr>
            <w:tcW w:w="2689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Фактическая готовность мероприятия за период реализации 2010-2021 годы ожидается на уровне 52,1 %</w:t>
            </w:r>
          </w:p>
        </w:tc>
        <w:tc>
          <w:tcPr>
            <w:tcW w:w="2551" w:type="dxa"/>
          </w:tcPr>
          <w:p w:rsidR="00CB0BB8" w:rsidRPr="00D753BB" w:rsidRDefault="00CB0BB8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Выполнение задания на 2019 год составляет 0,3 %</w:t>
            </w:r>
          </w:p>
        </w:tc>
      </w:tr>
      <w:tr w:rsidR="00CB0BB8" w:rsidRPr="00D753BB" w:rsidTr="001009A0">
        <w:trPr>
          <w:gridBefore w:val="1"/>
          <w:wBefore w:w="318" w:type="dxa"/>
          <w:trHeight w:val="111"/>
        </w:trPr>
        <w:tc>
          <w:tcPr>
            <w:tcW w:w="15984" w:type="dxa"/>
            <w:gridSpan w:val="8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Направление (подпрограмма) «Гражданская авиация и аэронавигационное обеспечение»</w:t>
            </w: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Развитие Московского авиационного узла. Строительство комплекса новой взлетно-посадочной полосы (ВПП-3) Международного аэропорта Шереметьево, Московская область</w:t>
            </w: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4 700 000,0</w:t>
            </w: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 xml:space="preserve">1. Завершение работ по ВДС, ССО, САСС, очистным сооружениям Восток и Запад, КДП, патрульной дороге,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периметровому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ограждению с ТСО, КПП, трансформаторным подстанциям,  объектам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метео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и РТОП, сетям связи и управления, сетям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электроснабжения.</w:t>
            </w:r>
            <w:r w:rsidRPr="00D753BB">
              <w:rPr>
                <w:color w:val="000000"/>
                <w:sz w:val="23"/>
                <w:szCs w:val="23"/>
              </w:rPr>
              <w:br/>
              <w:t>2. Изъятие земельного участка для государственных нужд (по решению Арбитражного суда Московской области от 12.12.2018 по делу № А41-108693/17).</w:t>
            </w:r>
            <w:r w:rsidRPr="00D753BB">
              <w:rPr>
                <w:color w:val="000000"/>
                <w:sz w:val="23"/>
                <w:szCs w:val="23"/>
              </w:rPr>
              <w:br/>
              <w:t>3. Проведение кадастровых работ по изготовлению технических планов на законченные строительством объекты капитального строительства, заключений об отнесении объектов к движимому имуществу, по установлению/изменени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ю зон с особыми условиями использования территории в 2019 году.</w:t>
            </w:r>
            <w:r w:rsidRPr="00D753BB">
              <w:rPr>
                <w:color w:val="000000"/>
                <w:sz w:val="23"/>
                <w:szCs w:val="23"/>
              </w:rPr>
              <w:br/>
              <w:t>4. Проведение кадастровых работ, необходимых для внесения изменений в ЕГРН по инженерным коммуникациям, выносимым из зоны строительства ВПП-3.</w:t>
            </w:r>
            <w:r w:rsidRPr="00D753BB">
              <w:rPr>
                <w:color w:val="000000"/>
                <w:sz w:val="23"/>
                <w:szCs w:val="23"/>
              </w:rPr>
              <w:br/>
              <w:t>5. Ввести объект в эксплуатацию.</w:t>
            </w: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lastRenderedPageBreak/>
              <w:t xml:space="preserve">1. Завершаются работы по перечисленным объектам, строительная готовность ВДС - 99%, ССО - 40%, САСС "Восток"- 50%,  Очистные сооружения «Запад» - 86%; Очистные сооружения «Восток» - 80%; КДП - 99%, Патрульная дорога-85%; 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 xml:space="preserve">Ограждение и средства ТСО - 63%;  КПП - 85%, ТП - 90%, объекты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метео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и РТОП - 60%, сети связи и управления - 85%, сети электроснабжения - 75%.</w:t>
            </w:r>
            <w:r w:rsidRPr="00D753BB">
              <w:rPr>
                <w:color w:val="000000"/>
                <w:sz w:val="23"/>
                <w:szCs w:val="23"/>
              </w:rPr>
              <w:br/>
              <w:t>2. Ответчиком поданы апелляционные жалобы, их рассмотрение назначено на 09.04.2019г.</w:t>
            </w:r>
            <w:r w:rsidRPr="00D753BB">
              <w:rPr>
                <w:color w:val="000000"/>
                <w:sz w:val="23"/>
                <w:szCs w:val="23"/>
              </w:rPr>
              <w:br/>
              <w:t xml:space="preserve">3. Данный вид работ включен в объемы Государственного контракта от 24.12.2015 № 0373100090915000072 дополнительным соглашением № 41 от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13.03.2019.</w:t>
            </w:r>
            <w:r w:rsidRPr="00D753BB">
              <w:rPr>
                <w:color w:val="000000"/>
                <w:sz w:val="23"/>
                <w:szCs w:val="23"/>
              </w:rPr>
              <w:br/>
              <w:t>4. Подготовлены и согласован</w:t>
            </w:r>
            <w:proofErr w:type="gramStart"/>
            <w:r w:rsidRPr="00D753BB">
              <w:rPr>
                <w:color w:val="000000"/>
                <w:sz w:val="23"/>
                <w:szCs w:val="23"/>
              </w:rPr>
              <w:t>ы ООО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 xml:space="preserve"> «Газпром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трансгаз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Москва» технические планы на переустраиваемые магистральные газопроводы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Ду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800 мм,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Ду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1000 мм. Подготовлены описания местоположения охранных зон переустраиваемых магистральных газопроводов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Ду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800 мм,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Ду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1000 мм (на согласовании в ООО «Газпром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трансгаз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Москва»).</w:t>
            </w:r>
            <w:r w:rsidRPr="00D753BB">
              <w:rPr>
                <w:color w:val="000000"/>
                <w:sz w:val="23"/>
                <w:szCs w:val="23"/>
              </w:rPr>
              <w:br/>
              <w:t xml:space="preserve">Подготовлен и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согласован АО «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Транснефть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– Верхняя Волга» технический план на переустраиваемый участок 2 магистрального кольцевого нефтепродуктопровода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Ду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377 мм. Подготовлены описания местоположения охранных зон переустраиваемых участков 1 и 2 магистрального кольцевого нефтепродуктопровода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Ду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377 мм (на согласовании в АО «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Транснефть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– Верхняя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Волга»).</w:t>
            </w: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1.2.</w:t>
            </w: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D753BB">
              <w:rPr>
                <w:color w:val="000000"/>
                <w:sz w:val="23"/>
                <w:szCs w:val="23"/>
              </w:rPr>
              <w:t>Строительство аэропортового комплекса "Центральный" (г. Саратов) 1 очередь строительства, г. Саратов</w:t>
            </w:r>
            <w:proofErr w:type="gramEnd"/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1 889 206,6</w:t>
            </w: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45 638,9</w:t>
            </w: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45 638,9</w:t>
            </w: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 xml:space="preserve">1. Завершение работ по устройству ИВПП, РД-1, РД-2, ССО, КДП, </w:t>
            </w:r>
            <w:proofErr w:type="gramStart"/>
            <w:r w:rsidRPr="00D753BB">
              <w:rPr>
                <w:color w:val="000000"/>
                <w:sz w:val="23"/>
                <w:szCs w:val="23"/>
              </w:rPr>
              <w:t>АСС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>, ВДС, ОС, патрульной дороги.</w:t>
            </w:r>
            <w:r w:rsidRPr="00D753BB">
              <w:rPr>
                <w:color w:val="000000"/>
                <w:sz w:val="23"/>
                <w:szCs w:val="23"/>
              </w:rPr>
              <w:br w:type="page"/>
              <w:t>2. Оформление технических планов на объекты, планируемые к вводу в 2019 году.</w:t>
            </w:r>
            <w:r w:rsidRPr="00D753BB">
              <w:rPr>
                <w:color w:val="000000"/>
                <w:sz w:val="23"/>
                <w:szCs w:val="23"/>
              </w:rPr>
              <w:br w:type="page"/>
              <w:t>3. Ввести объект в эксплуатацию.</w:t>
            </w:r>
            <w:r w:rsidRPr="00D753BB">
              <w:rPr>
                <w:color w:val="000000"/>
                <w:sz w:val="23"/>
                <w:szCs w:val="23"/>
              </w:rPr>
              <w:br w:type="page"/>
            </w: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br w:type="page"/>
              <w:t xml:space="preserve">1. Завершаются работы по перечисленным объектам, строительная готовность ИВПП - 95%, РД-1 -95%, РД-2 - 80%, ВДС - 97%, ССО -70%, КДП -  95%,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Патрул</w:t>
            </w:r>
            <w:proofErr w:type="gramStart"/>
            <w:r w:rsidRPr="00D753BB">
              <w:rPr>
                <w:color w:val="000000"/>
                <w:sz w:val="23"/>
                <w:szCs w:val="23"/>
              </w:rPr>
              <w:t>.д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>орога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 - 70%, АСС - 25%, ОС - 35%.</w:t>
            </w:r>
            <w:r w:rsidRPr="00D753BB">
              <w:rPr>
                <w:color w:val="000000"/>
                <w:sz w:val="23"/>
                <w:szCs w:val="23"/>
              </w:rPr>
              <w:br w:type="page"/>
            </w: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1.3.</w:t>
            </w: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Реконструкция аэропортового комплекса "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Баландино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>" (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D753BB">
              <w:rPr>
                <w:color w:val="000000"/>
                <w:sz w:val="23"/>
                <w:szCs w:val="23"/>
              </w:rPr>
              <w:t>.Ч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>елябинск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2 322 927,5</w:t>
            </w: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74 905,3</w:t>
            </w: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br/>
              <w:t>1. Завершение работ по устройству искусственных покрытий перрона и рулежных дорожек РД-М1, РД-В, РД-М2, РД-Е.</w:t>
            </w:r>
            <w:r w:rsidRPr="00D753BB">
              <w:rPr>
                <w:color w:val="000000"/>
                <w:sz w:val="23"/>
                <w:szCs w:val="23"/>
              </w:rPr>
              <w:br/>
            </w:r>
            <w:r w:rsidRPr="00D753BB">
              <w:rPr>
                <w:color w:val="000000"/>
                <w:sz w:val="23"/>
                <w:szCs w:val="23"/>
              </w:rPr>
              <w:lastRenderedPageBreak/>
              <w:t>2. Оформление технических планов на часть объектов в случае их ввода в 2019 году.</w:t>
            </w: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b/>
                <w:bCs/>
                <w:color w:val="000000"/>
                <w:sz w:val="23"/>
                <w:szCs w:val="23"/>
              </w:rPr>
              <w:lastRenderedPageBreak/>
              <w:br/>
            </w:r>
            <w:r w:rsidRPr="00D753BB">
              <w:rPr>
                <w:color w:val="000000"/>
                <w:sz w:val="23"/>
                <w:szCs w:val="23"/>
              </w:rPr>
              <w:t xml:space="preserve">1. Ведутся работы по устройству искусственных покрытий, строительная готовность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искусственных покрытий перрона на 15 МС - 7% , РД-М1- 0 %, РД-В - 17 %, РД-М2 - 0 %, РД-Е - 11%.</w:t>
            </w: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1.4.</w:t>
            </w: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Реконструкция аэропортового комплекса "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Баландино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>" (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D753BB">
              <w:rPr>
                <w:color w:val="000000"/>
                <w:sz w:val="23"/>
                <w:szCs w:val="23"/>
              </w:rPr>
              <w:t>.Ч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>елябинск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>). II этап строительства</w:t>
            </w: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1 800 000,0</w:t>
            </w: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br/>
              <w:t>1. Завершение работ по устройству искусственных покрытий перрона и РД-</w:t>
            </w:r>
            <w:proofErr w:type="gramStart"/>
            <w:r w:rsidRPr="00D753BB">
              <w:rPr>
                <w:color w:val="000000"/>
                <w:sz w:val="23"/>
                <w:szCs w:val="23"/>
              </w:rPr>
              <w:t>G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br/>
              <w:t>2. Оформление технических планов на часть объектов в случае их ввода в 2019 году.</w:t>
            </w: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br/>
              <w:t xml:space="preserve">1. В отчетном периоде документы по выполненным разбивочным работам и по разработке рабочей документации, которые предусмотрены календарным графиком производства и стоимости работ, Подрядчиком не представлены. Строительная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готовность искусственных покрытий перрона и РД-</w:t>
            </w:r>
            <w:proofErr w:type="gramStart"/>
            <w:r w:rsidRPr="00D753BB">
              <w:rPr>
                <w:color w:val="000000"/>
                <w:sz w:val="23"/>
                <w:szCs w:val="23"/>
              </w:rPr>
              <w:t>G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 xml:space="preserve"> – 0%.</w:t>
            </w: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1 414 600,0</w:t>
            </w: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478 387,1</w:t>
            </w: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478 387,1</w:t>
            </w: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Внебюджетные источники.</w:t>
            </w:r>
            <w:r w:rsidRPr="00D753BB">
              <w:rPr>
                <w:color w:val="000000"/>
                <w:sz w:val="23"/>
                <w:szCs w:val="23"/>
              </w:rPr>
              <w:br/>
              <w:t xml:space="preserve">По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инвестпроекту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«Реконструкция аэропортового комплекса «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Баландино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» (г. Челябинск) (объекты федеральной собственности)» проведена  корректировка проектной документации, получено положительное заключение ФАУ ГГЭ 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в части оснащения аэродрома до III-й кат. ИКАО.</w:t>
            </w:r>
            <w:r w:rsidRPr="00D753BB">
              <w:rPr>
                <w:color w:val="000000"/>
                <w:sz w:val="23"/>
                <w:szCs w:val="23"/>
              </w:rPr>
              <w:br/>
              <w:t xml:space="preserve">Выполнены работы по корректировке ПД в части строительства двух МС ВС типа ИЛ-96 для участников саммитов ШОС и БРИКС. Актуализированы проектные решения в части сопряжения проектных решений по строительству перрона-1 и АВК. Проектная документация готова для предоставления в ФАУ ГГЭ. Ведутся работы по строительству нового АВК ВВЛ/МВЛ.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Разрабатывается проектная документация по объекту: «База СТО, АС и ИАС для оперативного обслуживания ВС". Приобретены основные производственные фонды.</w:t>
            </w: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lastRenderedPageBreak/>
              <w:t>1.5.</w:t>
            </w: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Реконструкция аэропортового комплекса "Новый" (г. Хабаровск), г. Хабаровск</w:t>
            </w: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1 916 568,6</w:t>
            </w: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47 413,3</w:t>
            </w: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47 413,3</w:t>
            </w: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b/>
                <w:bCs/>
                <w:color w:val="000000"/>
                <w:sz w:val="23"/>
                <w:szCs w:val="23"/>
              </w:rPr>
              <w:br/>
            </w:r>
            <w:r w:rsidRPr="00D753BB">
              <w:rPr>
                <w:color w:val="000000"/>
                <w:sz w:val="23"/>
                <w:szCs w:val="23"/>
              </w:rPr>
              <w:t xml:space="preserve">1. Завершение работ по ОАСС, САСС, ОС №2, патрульной дороге,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периметровому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ограждению с ТСО, объектам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метео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и РТОП, сетям связи и управления, сетям электроснабжения.</w:t>
            </w:r>
            <w:r w:rsidRPr="00D753BB">
              <w:rPr>
                <w:color w:val="000000"/>
                <w:sz w:val="23"/>
                <w:szCs w:val="23"/>
              </w:rPr>
              <w:br/>
              <w:t xml:space="preserve">2. Оформление технических планов на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объекты при условии ввода в 2019 году.</w:t>
            </w:r>
            <w:r w:rsidRPr="00D753BB">
              <w:rPr>
                <w:color w:val="000000"/>
                <w:sz w:val="23"/>
                <w:szCs w:val="23"/>
              </w:rPr>
              <w:br/>
              <w:t>3. Ввести объект в эксплуатацию.</w:t>
            </w: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lastRenderedPageBreak/>
              <w:br/>
              <w:t xml:space="preserve">1. Завершаются работы по перечисленным объектам, строительная готовность ОАСС - 34%, САСС - 20%, ОС - 55%, патрульной дороге - 1%,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перим</w:t>
            </w:r>
            <w:proofErr w:type="gramStart"/>
            <w:r w:rsidRPr="00D753BB">
              <w:rPr>
                <w:color w:val="000000"/>
                <w:sz w:val="23"/>
                <w:szCs w:val="23"/>
              </w:rPr>
              <w:t>.о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>граждению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с ТСО - 38%, РТОП и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метео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- 65%, сетям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связи и управления - 80%, сетям электроснабжения - 79%.</w:t>
            </w: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1.6.</w:t>
            </w: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Реконструкция ИВПП-2 аэропорта Якутск (III очередь строительства), Республика Саха (Якутия)</w:t>
            </w: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1 688 656,2</w:t>
            </w: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br/>
              <w:t>1. Завершение работ по устройству искусственных покрытий РД-В, удлинения ИВПП-2, ТП-3, ТП-17, ТП-СВОД, площадке СПАСОП.</w:t>
            </w:r>
            <w:r w:rsidRPr="00D753BB">
              <w:rPr>
                <w:color w:val="000000"/>
                <w:sz w:val="23"/>
                <w:szCs w:val="23"/>
              </w:rPr>
              <w:br/>
              <w:t xml:space="preserve">2. Изъятие земельных участков в целях реализации Проекта. </w:t>
            </w:r>
            <w:r w:rsidRPr="00D753BB">
              <w:rPr>
                <w:color w:val="000000"/>
                <w:sz w:val="23"/>
                <w:szCs w:val="23"/>
              </w:rPr>
              <w:br/>
              <w:t>3. Оформление технических планов на часть объектов в случае их ввода в 2019 году.</w:t>
            </w: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br/>
              <w:t>1. Ведутся работы, строительная готовность  искусственных покрытий РД-В - 50%,  удлинения ИВПП-2 —  25 %; ТП-3 — 0 %, ТП-17 - 0 %, ТП-СВОД - 0 %, площадке СПАСОП — 0 %.</w:t>
            </w:r>
            <w:r w:rsidRPr="00D753BB">
              <w:rPr>
                <w:color w:val="000000"/>
                <w:sz w:val="23"/>
                <w:szCs w:val="23"/>
              </w:rPr>
              <w:br/>
              <w:t xml:space="preserve">2. Изданы приказы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Росавиации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об изъятии объектов недвижимого имущества для государственных нужд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от 07.03.2019 № 161-П, от 12.02.2019 № 82-П, от 17.12.2018 № 1063-П, от 29.10.2018 № 888-П «Об изъятии для государственных нужд объектов недвижимого имущества в целях реализации проекта «Реконструкция ИВПП-2 аэропорта Якутск, Республика Саха (Якутия) (III-очередь строительства)».</w:t>
            </w: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«Техническое перевооружение АМСГ Таганрог, аэропорт Таганрог, г. Таганрог, Ростовская область»</w:t>
            </w: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9392,5</w:t>
            </w: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9392,5</w:t>
            </w: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Ввод объекта в эксплуатацию</w:t>
            </w: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Работы ведутся в соответствии с условиями доп. соглашения от 09.07.2018 № 11 к договору от 25.03.2014 № 18-14</w:t>
            </w: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Техническое перевооружение АМСГ Анадырь, аэропорт Анадырь, г. Анадырь, Чукотский АО</w:t>
            </w: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7031,5</w:t>
            </w: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7031,5</w:t>
            </w: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Ввод объекта в эксплуатацию</w:t>
            </w: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Работы ведутся в соответствии с условиями доп. соглашения от 09.07.2018 № 10 к договору от 25.03.2014 № 20-14</w:t>
            </w: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009A0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1009A0" w:rsidRPr="00D753BB" w:rsidRDefault="001009A0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1009A0" w:rsidRPr="00D753BB" w:rsidRDefault="001009A0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B0BB8" w:rsidRPr="00D753BB" w:rsidTr="001009A0">
        <w:trPr>
          <w:gridBefore w:val="1"/>
          <w:wBefore w:w="318" w:type="dxa"/>
          <w:trHeight w:val="333"/>
        </w:trPr>
        <w:tc>
          <w:tcPr>
            <w:tcW w:w="15984" w:type="dxa"/>
            <w:gridSpan w:val="8"/>
          </w:tcPr>
          <w:p w:rsidR="00CB0BB8" w:rsidRPr="00D753BB" w:rsidRDefault="00CB0BB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Направление (подпрограмма) «Морской и речной транспорт»</w:t>
            </w:r>
          </w:p>
        </w:tc>
      </w:tr>
      <w:tr w:rsidR="00CB2412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  <w:vMerge w:val="restart"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 w:val="restart"/>
          </w:tcPr>
          <w:p w:rsidR="00CB2412" w:rsidRPr="00D753BB" w:rsidRDefault="00CB2412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грузопассажирского судна для обеспечения сообщения Командорских островов и г. Северо-Курильска с г. Петропавловском-Камчатским. Грузопассажирское судно проекта NE-020 2</w:t>
            </w:r>
          </w:p>
        </w:tc>
        <w:tc>
          <w:tcPr>
            <w:tcW w:w="2410" w:type="dxa"/>
          </w:tcPr>
          <w:p w:rsidR="00CB2412" w:rsidRPr="00D753BB" w:rsidRDefault="00CB2412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524 000,0</w:t>
            </w:r>
          </w:p>
        </w:tc>
        <w:tc>
          <w:tcPr>
            <w:tcW w:w="2272" w:type="dxa"/>
          </w:tcPr>
          <w:p w:rsidR="00CB2412" w:rsidRPr="00D753BB" w:rsidRDefault="00CB2412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  <w:p w:rsidR="00CB2412" w:rsidRPr="00D753BB" w:rsidRDefault="00CB2412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CB2412" w:rsidRPr="00D753BB" w:rsidRDefault="00CB2412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 w:val="restart"/>
          </w:tcPr>
          <w:p w:rsidR="00CB2412" w:rsidRPr="00D753BB" w:rsidRDefault="00CB2412" w:rsidP="001009A0">
            <w:pPr>
              <w:jc w:val="center"/>
              <w:rPr>
                <w:iCs/>
                <w:sz w:val="23"/>
                <w:szCs w:val="23"/>
              </w:rPr>
            </w:pPr>
            <w:r w:rsidRPr="00D753BB">
              <w:rPr>
                <w:iCs/>
                <w:sz w:val="23"/>
                <w:szCs w:val="23"/>
              </w:rPr>
              <w:t>1. Заключение контракта.</w:t>
            </w:r>
          </w:p>
          <w:p w:rsidR="00CB2412" w:rsidRPr="00D753BB" w:rsidRDefault="00CB2412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iCs/>
                <w:sz w:val="23"/>
                <w:szCs w:val="23"/>
              </w:rPr>
              <w:t>2. Закладка киля.</w:t>
            </w:r>
          </w:p>
        </w:tc>
        <w:tc>
          <w:tcPr>
            <w:tcW w:w="2551" w:type="dxa"/>
            <w:vMerge w:val="restart"/>
          </w:tcPr>
          <w:p w:rsidR="00CB2412" w:rsidRPr="00D753BB" w:rsidRDefault="00CB2412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-</w:t>
            </w:r>
          </w:p>
        </w:tc>
      </w:tr>
      <w:tr w:rsidR="00CB2412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  <w:vMerge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CB2412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CB2412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  <w:vMerge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CB2412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CB2412" w:rsidRPr="00D753BB" w:rsidRDefault="00CB2412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  <w:vMerge w:val="restart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 w:val="restart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морской </w:t>
            </w:r>
            <w:r w:rsidRPr="00D753BB">
              <w:rPr>
                <w:sz w:val="23"/>
                <w:szCs w:val="23"/>
              </w:rPr>
              <w:lastRenderedPageBreak/>
              <w:t>портовой инфраструктуры в морском порту Калининград. Международный морской терминал для приема круизных и грузопассажирских судов в г. Пионерский, Калининградской области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5 224 929,3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279 552,3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279 352,3</w:t>
            </w:r>
          </w:p>
        </w:tc>
        <w:tc>
          <w:tcPr>
            <w:tcW w:w="2689" w:type="dxa"/>
            <w:vMerge w:val="restart"/>
          </w:tcPr>
          <w:p w:rsidR="00066D4C" w:rsidRPr="00D753BB" w:rsidRDefault="00066D4C" w:rsidP="001009A0">
            <w:pPr>
              <w:jc w:val="center"/>
              <w:rPr>
                <w:iCs/>
                <w:sz w:val="23"/>
                <w:szCs w:val="23"/>
              </w:rPr>
            </w:pPr>
            <w:r w:rsidRPr="00D753BB">
              <w:rPr>
                <w:iCs/>
                <w:sz w:val="23"/>
                <w:szCs w:val="23"/>
              </w:rPr>
              <w:t xml:space="preserve">1. Завершение работ по </w:t>
            </w:r>
            <w:r w:rsidRPr="00D753BB">
              <w:rPr>
                <w:iCs/>
                <w:sz w:val="23"/>
                <w:szCs w:val="23"/>
              </w:rPr>
              <w:lastRenderedPageBreak/>
              <w:t>разработке рабочей документации.</w:t>
            </w:r>
          </w:p>
          <w:p w:rsidR="00066D4C" w:rsidRPr="00D753BB" w:rsidRDefault="00066D4C" w:rsidP="001009A0">
            <w:pPr>
              <w:jc w:val="center"/>
              <w:rPr>
                <w:iCs/>
                <w:sz w:val="23"/>
                <w:szCs w:val="23"/>
              </w:rPr>
            </w:pPr>
            <w:r w:rsidRPr="00D753BB">
              <w:rPr>
                <w:iCs/>
                <w:sz w:val="23"/>
                <w:szCs w:val="23"/>
              </w:rPr>
              <w:t xml:space="preserve">2. Окончание строительства </w:t>
            </w:r>
            <w:proofErr w:type="spellStart"/>
            <w:r w:rsidRPr="00D753BB">
              <w:rPr>
                <w:iCs/>
                <w:sz w:val="23"/>
                <w:szCs w:val="23"/>
              </w:rPr>
              <w:t>берегоукрепления</w:t>
            </w:r>
            <w:proofErr w:type="spellEnd"/>
            <w:r w:rsidRPr="00D753BB">
              <w:rPr>
                <w:iCs/>
                <w:sz w:val="23"/>
                <w:szCs w:val="23"/>
              </w:rPr>
              <w:t xml:space="preserve"> внутри гавани, причала для судов портового флота, водозабора, </w:t>
            </w:r>
            <w:proofErr w:type="spellStart"/>
            <w:r w:rsidRPr="00D753BB">
              <w:rPr>
                <w:iCs/>
                <w:sz w:val="23"/>
                <w:szCs w:val="23"/>
              </w:rPr>
              <w:t>водовыпуска</w:t>
            </w:r>
            <w:proofErr w:type="spellEnd"/>
            <w:r w:rsidRPr="00D753BB">
              <w:rPr>
                <w:iCs/>
                <w:sz w:val="23"/>
                <w:szCs w:val="23"/>
              </w:rPr>
              <w:t>; берегового пандуса причала № 1; причалов № 1 и № 2 грузопассажирского терминала; оградительного мола.</w:t>
            </w:r>
          </w:p>
          <w:p w:rsidR="00066D4C" w:rsidRPr="00D753BB" w:rsidRDefault="00066D4C" w:rsidP="001009A0">
            <w:pPr>
              <w:jc w:val="center"/>
              <w:rPr>
                <w:iCs/>
                <w:sz w:val="23"/>
                <w:szCs w:val="23"/>
              </w:rPr>
            </w:pPr>
            <w:r w:rsidRPr="00D753BB">
              <w:rPr>
                <w:iCs/>
                <w:sz w:val="23"/>
                <w:szCs w:val="23"/>
              </w:rPr>
              <w:t>3. Завершение реконструкции северного мола.</w:t>
            </w:r>
          </w:p>
          <w:p w:rsidR="00066D4C" w:rsidRPr="00D753BB" w:rsidRDefault="00066D4C" w:rsidP="001009A0">
            <w:pPr>
              <w:jc w:val="center"/>
              <w:rPr>
                <w:iCs/>
                <w:sz w:val="23"/>
                <w:szCs w:val="23"/>
              </w:rPr>
            </w:pPr>
            <w:r w:rsidRPr="00D753BB">
              <w:rPr>
                <w:iCs/>
                <w:sz w:val="23"/>
                <w:szCs w:val="23"/>
              </w:rPr>
              <w:t>4. Завершение строительства акватории.</w:t>
            </w:r>
          </w:p>
          <w:p w:rsidR="00066D4C" w:rsidRPr="00D753BB" w:rsidRDefault="00066D4C" w:rsidP="001009A0">
            <w:pPr>
              <w:jc w:val="center"/>
              <w:rPr>
                <w:iCs/>
                <w:sz w:val="23"/>
                <w:szCs w:val="23"/>
              </w:rPr>
            </w:pPr>
            <w:r w:rsidRPr="00D753BB">
              <w:rPr>
                <w:iCs/>
                <w:sz w:val="23"/>
                <w:szCs w:val="23"/>
              </w:rPr>
              <w:t xml:space="preserve">5. Создание искусственных </w:t>
            </w:r>
            <w:r w:rsidRPr="00D753BB">
              <w:rPr>
                <w:iCs/>
                <w:sz w:val="23"/>
                <w:szCs w:val="23"/>
              </w:rPr>
              <w:lastRenderedPageBreak/>
              <w:t>земельных участков.</w:t>
            </w:r>
          </w:p>
          <w:p w:rsidR="00066D4C" w:rsidRPr="00D753BB" w:rsidRDefault="00066D4C" w:rsidP="001009A0">
            <w:pPr>
              <w:jc w:val="center"/>
              <w:rPr>
                <w:iCs/>
                <w:sz w:val="23"/>
                <w:szCs w:val="23"/>
              </w:rPr>
            </w:pPr>
            <w:r w:rsidRPr="00D753BB">
              <w:rPr>
                <w:iCs/>
                <w:sz w:val="23"/>
                <w:szCs w:val="23"/>
              </w:rPr>
              <w:t>6. Завершение строительства береговых зданий и сооружений.</w:t>
            </w:r>
          </w:p>
          <w:p w:rsidR="00066D4C" w:rsidRPr="00D753BB" w:rsidRDefault="00066D4C" w:rsidP="001009A0">
            <w:pPr>
              <w:jc w:val="center"/>
              <w:rPr>
                <w:iCs/>
                <w:sz w:val="23"/>
                <w:szCs w:val="23"/>
              </w:rPr>
            </w:pPr>
            <w:r w:rsidRPr="00D753BB">
              <w:rPr>
                <w:iCs/>
                <w:sz w:val="23"/>
                <w:szCs w:val="23"/>
              </w:rPr>
              <w:t>7. Строительство инженерных сетей и систем.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iCs/>
                <w:sz w:val="23"/>
                <w:szCs w:val="23"/>
              </w:rPr>
              <w:t>8. Благоустройство и озеленение.</w:t>
            </w:r>
          </w:p>
        </w:tc>
        <w:tc>
          <w:tcPr>
            <w:tcW w:w="2551" w:type="dxa"/>
            <w:vMerge w:val="restart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Завершены работы: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1. Разработка рабочей документации.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814 483,0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200,0</w:t>
            </w: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05"/>
        </w:trPr>
        <w:tc>
          <w:tcPr>
            <w:tcW w:w="533" w:type="dxa"/>
            <w:vMerge w:val="restart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 w:val="restart"/>
          </w:tcPr>
          <w:p w:rsidR="00066D4C" w:rsidRPr="00D753BB" w:rsidRDefault="00066D4C" w:rsidP="001009A0">
            <w:pPr>
              <w:pStyle w:val="ac"/>
              <w:spacing w:after="0"/>
              <w:jc w:val="center"/>
              <w:rPr>
                <w:sz w:val="23"/>
                <w:szCs w:val="23"/>
                <w:lang w:eastAsia="ru-RU"/>
              </w:rPr>
            </w:pPr>
            <w:r w:rsidRPr="00D753BB">
              <w:rPr>
                <w:sz w:val="23"/>
                <w:szCs w:val="23"/>
              </w:rPr>
              <w:t>ФГБУ «Канал имени Москвы», г. Москва</w:t>
            </w:r>
          </w:p>
          <w:p w:rsidR="00066D4C" w:rsidRPr="00D753BB" w:rsidRDefault="00066D4C" w:rsidP="001009A0">
            <w:pPr>
              <w:pStyle w:val="ac"/>
              <w:spacing w:after="0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«Разработка и реализация комплексного </w:t>
            </w:r>
            <w:proofErr w:type="gramStart"/>
            <w:r w:rsidRPr="00D753BB">
              <w:rPr>
                <w:sz w:val="23"/>
                <w:szCs w:val="23"/>
              </w:rPr>
              <w:t>проекта реконструкции объектов инфраструктуры канала имени</w:t>
            </w:r>
            <w:proofErr w:type="gramEnd"/>
            <w:r w:rsidRPr="00D753BB">
              <w:rPr>
                <w:sz w:val="23"/>
                <w:szCs w:val="23"/>
              </w:rPr>
              <w:t> Москвы» 2 этап. Реконструкция гидроузла Белоомут (</w:t>
            </w:r>
            <w:proofErr w:type="spellStart"/>
            <w:r w:rsidRPr="00D753BB">
              <w:rPr>
                <w:sz w:val="23"/>
                <w:szCs w:val="23"/>
              </w:rPr>
              <w:t>подэтап</w:t>
            </w:r>
            <w:proofErr w:type="spellEnd"/>
            <w:r w:rsidRPr="00D753BB">
              <w:rPr>
                <w:sz w:val="23"/>
                <w:szCs w:val="23"/>
              </w:rPr>
              <w:t xml:space="preserve"> 4)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601 070,5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67 198,8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67 198,8</w:t>
            </w:r>
          </w:p>
        </w:tc>
        <w:tc>
          <w:tcPr>
            <w:tcW w:w="2689" w:type="dxa"/>
            <w:vMerge w:val="restart"/>
          </w:tcPr>
          <w:p w:rsidR="00066D4C" w:rsidRPr="00D753BB" w:rsidRDefault="00066D4C" w:rsidP="001009A0">
            <w:pPr>
              <w:pStyle w:val="ac"/>
              <w:spacing w:after="0"/>
              <w:jc w:val="center"/>
              <w:rPr>
                <w:sz w:val="23"/>
                <w:szCs w:val="23"/>
                <w:lang w:eastAsia="ru-RU"/>
              </w:rPr>
            </w:pPr>
            <w:r w:rsidRPr="00D753BB">
              <w:rPr>
                <w:b/>
                <w:sz w:val="23"/>
                <w:szCs w:val="23"/>
              </w:rPr>
              <w:t>- завершение монтажных работ;</w:t>
            </w:r>
          </w:p>
          <w:p w:rsidR="00066D4C" w:rsidRPr="00D753BB" w:rsidRDefault="00066D4C" w:rsidP="001009A0">
            <w:pPr>
              <w:pStyle w:val="ac"/>
              <w:spacing w:after="0"/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- спуск на воду;</w:t>
            </w:r>
          </w:p>
          <w:p w:rsidR="00066D4C" w:rsidRPr="00D753BB" w:rsidRDefault="00066D4C" w:rsidP="001009A0">
            <w:pPr>
              <w:pStyle w:val="ac"/>
              <w:spacing w:after="0"/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- швартовые испытания;</w:t>
            </w:r>
          </w:p>
          <w:p w:rsidR="00066D4C" w:rsidRPr="00D753BB" w:rsidRDefault="00066D4C" w:rsidP="001009A0">
            <w:pPr>
              <w:pStyle w:val="ac"/>
              <w:spacing w:after="0"/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- ходовые испытания;</w:t>
            </w:r>
          </w:p>
          <w:p w:rsidR="00066D4C" w:rsidRPr="00D753BB" w:rsidRDefault="00066D4C" w:rsidP="001009A0">
            <w:pPr>
              <w:pStyle w:val="ac"/>
              <w:spacing w:after="0"/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- приемо-сдаточные испытания.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 w:val="restart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По шлюзу выполнили: по 1-му этапу - строительство 1-й глухой части, секций №1 и №2 водосбросной части плотины. По 2-му этапу строительства плотины – возвели 2-й глухой участок плотины по секции № 3 забетонирован флютбет и 1-я захватка (из 2-х), рисберма </w:t>
            </w:r>
            <w:r w:rsidRPr="00D753BB">
              <w:rPr>
                <w:sz w:val="23"/>
                <w:szCs w:val="23"/>
              </w:rPr>
              <w:lastRenderedPageBreak/>
              <w:t xml:space="preserve">забетонирована (остался участок в теле перемычки), </w:t>
            </w:r>
            <w:proofErr w:type="gramStart"/>
            <w:r w:rsidRPr="00D753BB">
              <w:rPr>
                <w:sz w:val="23"/>
                <w:szCs w:val="23"/>
              </w:rPr>
              <w:t>понур</w:t>
            </w:r>
            <w:proofErr w:type="gramEnd"/>
            <w:r w:rsidRPr="00D753BB">
              <w:rPr>
                <w:sz w:val="23"/>
                <w:szCs w:val="23"/>
              </w:rPr>
              <w:t xml:space="preserve"> забетонирован (остался участок в теле временной перемычки).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Выявлен риск несвоевременного исполнения мероприятия.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Причины срыва графика выполнения работ, указанных в </w:t>
            </w:r>
            <w:proofErr w:type="spellStart"/>
            <w:r w:rsidRPr="00D753BB">
              <w:rPr>
                <w:sz w:val="23"/>
                <w:szCs w:val="23"/>
              </w:rPr>
              <w:t>госконтракте</w:t>
            </w:r>
            <w:proofErr w:type="spellEnd"/>
            <w:r w:rsidRPr="00D753BB">
              <w:rPr>
                <w:sz w:val="23"/>
                <w:szCs w:val="23"/>
              </w:rPr>
              <w:t>: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а) аварийный прорыв временных ограждающих шпунтовых сооружений во время паводка 2018 года;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б) процедура внешнего </w:t>
            </w:r>
            <w:r w:rsidRPr="00D753BB">
              <w:rPr>
                <w:sz w:val="23"/>
                <w:szCs w:val="23"/>
              </w:rPr>
              <w:lastRenderedPageBreak/>
              <w:t>управления генподрядчика ФГУП «</w:t>
            </w:r>
            <w:proofErr w:type="spellStart"/>
            <w:r w:rsidRPr="00D753BB">
              <w:rPr>
                <w:sz w:val="23"/>
                <w:szCs w:val="23"/>
              </w:rPr>
              <w:t>Атэкс</w:t>
            </w:r>
            <w:proofErr w:type="spellEnd"/>
            <w:r w:rsidRPr="00D753BB">
              <w:rPr>
                <w:sz w:val="23"/>
                <w:szCs w:val="23"/>
              </w:rPr>
              <w:t>» с высокой вероятностью банкротства;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в) вынужденный односторонний разрыв контракта (контракт расторгнут 08.04.2019 в связи с истечением срока банковской гарантии 30.04.2019).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Финансирование: Дополнительно для окончания работ необходимо финансирование в 2020 году в размере непогашенного аванса ФГУП «</w:t>
            </w:r>
            <w:proofErr w:type="spellStart"/>
            <w:r w:rsidRPr="00D753BB">
              <w:rPr>
                <w:sz w:val="23"/>
                <w:szCs w:val="23"/>
              </w:rPr>
              <w:t>Атэкс</w:t>
            </w:r>
            <w:proofErr w:type="spellEnd"/>
            <w:r w:rsidRPr="00D753BB">
              <w:rPr>
                <w:sz w:val="23"/>
                <w:szCs w:val="23"/>
              </w:rPr>
              <w:t xml:space="preserve">», который будет взыскан в бюджет Российской </w:t>
            </w:r>
            <w:r w:rsidRPr="00D753BB">
              <w:rPr>
                <w:sz w:val="23"/>
                <w:szCs w:val="23"/>
              </w:rPr>
              <w:lastRenderedPageBreak/>
              <w:t>Федерации по банковской гарантии в размере 191,34 млн. руб. Ориентировочный срок завершения - 2020 год.</w:t>
            </w:r>
          </w:p>
        </w:tc>
      </w:tr>
      <w:tr w:rsidR="00066D4C" w:rsidRPr="00D753BB" w:rsidTr="001009A0">
        <w:trPr>
          <w:gridBefore w:val="1"/>
          <w:wBefore w:w="318" w:type="dxa"/>
          <w:trHeight w:val="126"/>
        </w:trPr>
        <w:tc>
          <w:tcPr>
            <w:tcW w:w="533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«Комплексное развитие Мурманского транспортного узла»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11 168 557,2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 w:val="restart"/>
          </w:tcPr>
          <w:p w:rsidR="00066D4C" w:rsidRPr="00D753BB" w:rsidRDefault="00066D4C" w:rsidP="001009A0">
            <w:pPr>
              <w:suppressAutoHyphens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Земляное полотно</w:t>
            </w:r>
          </w:p>
          <w:p w:rsidR="00066D4C" w:rsidRPr="00D753BB" w:rsidRDefault="00066D4C" w:rsidP="001009A0">
            <w:pPr>
              <w:suppressAutoHyphens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Верхнее строение пути</w:t>
            </w:r>
          </w:p>
          <w:p w:rsidR="00066D4C" w:rsidRPr="00D753BB" w:rsidRDefault="00066D4C" w:rsidP="001009A0">
            <w:pPr>
              <w:suppressAutoHyphens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Искусственные сооружения</w:t>
            </w:r>
          </w:p>
          <w:p w:rsidR="00066D4C" w:rsidRPr="00D753BB" w:rsidRDefault="00066D4C" w:rsidP="001009A0">
            <w:pPr>
              <w:suppressAutoHyphens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Объекты подсобного и обслуживающего назначения</w:t>
            </w:r>
          </w:p>
          <w:p w:rsidR="00066D4C" w:rsidRPr="00D753BB" w:rsidRDefault="00066D4C" w:rsidP="001009A0">
            <w:pPr>
              <w:suppressAutoHyphens/>
              <w:ind w:left="-102" w:right="-101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Наружные сети и сооружения водоснабжения, водоотведения, теплоснабжения</w:t>
            </w:r>
          </w:p>
        </w:tc>
        <w:tc>
          <w:tcPr>
            <w:tcW w:w="2551" w:type="dxa"/>
            <w:vMerge w:val="restart"/>
          </w:tcPr>
          <w:p w:rsidR="00066D4C" w:rsidRPr="00D753BB" w:rsidRDefault="00066D4C" w:rsidP="001009A0">
            <w:pPr>
              <w:ind w:firstLine="27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За 2019 год   освоение за счет всех источников финансирования составило 1,1% от годового задания.</w:t>
            </w:r>
          </w:p>
          <w:p w:rsidR="00066D4C" w:rsidRPr="00D753BB" w:rsidRDefault="00066D4C" w:rsidP="001009A0">
            <w:pPr>
              <w:ind w:firstLine="27"/>
              <w:jc w:val="center"/>
              <w:rPr>
                <w:sz w:val="23"/>
                <w:szCs w:val="23"/>
              </w:rPr>
            </w:pPr>
            <w:r w:rsidRPr="00D753BB">
              <w:rPr>
                <w:spacing w:val="4"/>
                <w:sz w:val="23"/>
                <w:szCs w:val="23"/>
              </w:rPr>
              <w:t xml:space="preserve">В отчетном периоде на объекте строительства продолжены буровзрывные </w:t>
            </w:r>
            <w:r w:rsidRPr="00D753BB">
              <w:rPr>
                <w:sz w:val="23"/>
                <w:szCs w:val="23"/>
              </w:rPr>
              <w:t xml:space="preserve">работы в выемках и карьере «Притрассовый-1» в </w:t>
            </w:r>
            <w:r w:rsidRPr="00D753BB">
              <w:rPr>
                <w:sz w:val="23"/>
                <w:szCs w:val="23"/>
              </w:rPr>
              <w:lastRenderedPageBreak/>
              <w:t>количестве 17641 куб. м и отсыпке скальным и дренирующим грунтами, с послойным уплотнением, насыпи земляного полотна в объёме 234633 куб. м, в том числе: 110942 куб. м на ст. Выходной, 2010 куб. м на перегоне б/</w:t>
            </w:r>
            <w:proofErr w:type="gramStart"/>
            <w:r w:rsidRPr="00D753BB">
              <w:rPr>
                <w:sz w:val="23"/>
                <w:szCs w:val="23"/>
              </w:rPr>
              <w:t>п</w:t>
            </w:r>
            <w:proofErr w:type="gramEnd"/>
            <w:r w:rsidRPr="00D753BB">
              <w:rPr>
                <w:sz w:val="23"/>
                <w:szCs w:val="23"/>
              </w:rPr>
              <w:t xml:space="preserve"> 9 км – Мурмаши-2, 976 куб. м – ст. Мурмаши-2, 81322 куб. м на перегоне ст. </w:t>
            </w:r>
            <w:proofErr w:type="gramStart"/>
            <w:r w:rsidRPr="00D753BB">
              <w:rPr>
                <w:sz w:val="23"/>
                <w:szCs w:val="23"/>
              </w:rPr>
              <w:t>Промежуточная</w:t>
            </w:r>
            <w:proofErr w:type="gramEnd"/>
            <w:r w:rsidRPr="00D753BB">
              <w:rPr>
                <w:sz w:val="23"/>
                <w:szCs w:val="23"/>
              </w:rPr>
              <w:t xml:space="preserve"> – ст. 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 xml:space="preserve"> и 39383 куб. м на ст. 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 xml:space="preserve">. Вывезено непригодного грунта и торфа в кавальер 221600 куб. м. </w:t>
            </w:r>
            <w:r w:rsidRPr="00D753BB">
              <w:rPr>
                <w:sz w:val="23"/>
                <w:szCs w:val="23"/>
              </w:rPr>
              <w:lastRenderedPageBreak/>
              <w:t>Продолжаются работы по переустройству инженерных сетей, попадающих в зону строительства железной дороги.</w:t>
            </w:r>
          </w:p>
          <w:p w:rsidR="00066D4C" w:rsidRPr="00D753BB" w:rsidRDefault="00066D4C" w:rsidP="001009A0">
            <w:pPr>
              <w:autoSpaceDE w:val="0"/>
              <w:ind w:firstLine="27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Ведутся работы по строительству железнодорожного мостового перехода через реку </w:t>
            </w:r>
            <w:proofErr w:type="spellStart"/>
            <w:r w:rsidRPr="00D753BB">
              <w:rPr>
                <w:sz w:val="23"/>
                <w:szCs w:val="23"/>
              </w:rPr>
              <w:t>Тулома</w:t>
            </w:r>
            <w:proofErr w:type="spellEnd"/>
            <w:r w:rsidRPr="00D753BB">
              <w:rPr>
                <w:sz w:val="23"/>
                <w:szCs w:val="23"/>
              </w:rPr>
              <w:t xml:space="preserve">. Выполнены работы по сооружению четвертой захватки пустотелой части опоры М5, продолжаются работы по армированию оголовка. Завершены работы по сборке, сварке и погружению труб Ø1420 мм для сооружения </w:t>
            </w:r>
            <w:r w:rsidRPr="00D753BB">
              <w:rPr>
                <w:sz w:val="23"/>
                <w:szCs w:val="23"/>
              </w:rPr>
              <w:lastRenderedPageBreak/>
              <w:t xml:space="preserve">трубобетонных свай на опоре М3, производится извлечение грунта из полости </w:t>
            </w:r>
            <w:proofErr w:type="spellStart"/>
            <w:r w:rsidRPr="00D753BB">
              <w:rPr>
                <w:sz w:val="23"/>
                <w:szCs w:val="23"/>
              </w:rPr>
              <w:t>трубосвай</w:t>
            </w:r>
            <w:proofErr w:type="spellEnd"/>
            <w:r w:rsidRPr="00D753BB">
              <w:rPr>
                <w:sz w:val="23"/>
                <w:szCs w:val="23"/>
              </w:rPr>
              <w:t xml:space="preserve">. Закончено погружение </w:t>
            </w:r>
            <w:proofErr w:type="spellStart"/>
            <w:r w:rsidRPr="00D753BB">
              <w:rPr>
                <w:sz w:val="23"/>
                <w:szCs w:val="23"/>
              </w:rPr>
              <w:t>трубосвай</w:t>
            </w:r>
            <w:proofErr w:type="spellEnd"/>
            <w:r w:rsidRPr="00D753BB">
              <w:rPr>
                <w:sz w:val="23"/>
                <w:szCs w:val="23"/>
              </w:rPr>
              <w:t xml:space="preserve"> по опоре М</w:t>
            </w:r>
            <w:proofErr w:type="gramStart"/>
            <w:r w:rsidRPr="00D753BB">
              <w:rPr>
                <w:sz w:val="23"/>
                <w:szCs w:val="23"/>
              </w:rPr>
              <w:t>6</w:t>
            </w:r>
            <w:proofErr w:type="gramEnd"/>
            <w:r w:rsidRPr="00D753BB">
              <w:rPr>
                <w:sz w:val="23"/>
                <w:szCs w:val="23"/>
              </w:rPr>
              <w:t>, проведены статические и динамические испытания, выполнено устройство шпунтового ограждения котлована, производятся работы по разработке грунта котлована. По опоре М</w:t>
            </w:r>
            <w:proofErr w:type="gramStart"/>
            <w:r w:rsidRPr="00D753BB">
              <w:rPr>
                <w:sz w:val="23"/>
                <w:szCs w:val="23"/>
              </w:rPr>
              <w:t>4</w:t>
            </w:r>
            <w:proofErr w:type="gramEnd"/>
            <w:r w:rsidRPr="00D753BB">
              <w:rPr>
                <w:sz w:val="23"/>
                <w:szCs w:val="23"/>
              </w:rPr>
              <w:t xml:space="preserve"> выполнена разработка котлована с устройством обвязки шпунтового ограждения, уложен </w:t>
            </w:r>
            <w:proofErr w:type="spellStart"/>
            <w:r w:rsidRPr="00D753BB">
              <w:rPr>
                <w:sz w:val="23"/>
                <w:szCs w:val="23"/>
              </w:rPr>
              <w:lastRenderedPageBreak/>
              <w:t>тампонажный</w:t>
            </w:r>
            <w:proofErr w:type="spellEnd"/>
            <w:r w:rsidRPr="00D753BB">
              <w:rPr>
                <w:sz w:val="23"/>
                <w:szCs w:val="23"/>
              </w:rPr>
              <w:t xml:space="preserve"> слой бетона, производится устройство армированной части трубобетонных свай. На опоре М</w:t>
            </w:r>
            <w:proofErr w:type="gramStart"/>
            <w:r w:rsidRPr="00D753BB">
              <w:rPr>
                <w:sz w:val="23"/>
                <w:szCs w:val="23"/>
              </w:rPr>
              <w:t>2</w:t>
            </w:r>
            <w:proofErr w:type="gramEnd"/>
            <w:r w:rsidRPr="00D753BB">
              <w:rPr>
                <w:sz w:val="23"/>
                <w:szCs w:val="23"/>
              </w:rPr>
              <w:t xml:space="preserve"> ведётся устройство основания из буронабивных свай, выполнена 1 буронабивная свая из 28. На опоре М</w:t>
            </w:r>
            <w:proofErr w:type="gramStart"/>
            <w:r w:rsidRPr="00D753BB">
              <w:rPr>
                <w:sz w:val="23"/>
                <w:szCs w:val="23"/>
              </w:rPr>
              <w:t>1</w:t>
            </w:r>
            <w:proofErr w:type="gramEnd"/>
            <w:r w:rsidRPr="00D753BB">
              <w:rPr>
                <w:sz w:val="23"/>
                <w:szCs w:val="23"/>
              </w:rPr>
              <w:t xml:space="preserve"> ведётся устройство основания из буронабивных свай, выполнена 1 буронабивная свая из 8. На опоре М</w:t>
            </w:r>
            <w:proofErr w:type="gramStart"/>
            <w:r w:rsidRPr="00D753BB">
              <w:rPr>
                <w:sz w:val="23"/>
                <w:szCs w:val="23"/>
              </w:rPr>
              <w:t>7</w:t>
            </w:r>
            <w:proofErr w:type="gramEnd"/>
            <w:r w:rsidRPr="00D753BB">
              <w:rPr>
                <w:sz w:val="23"/>
                <w:szCs w:val="23"/>
              </w:rPr>
              <w:t xml:space="preserve"> ведутся работы по сборке, сварке и погружению труб Ø1420 мм для сооружения трубобетонных свай, 6 </w:t>
            </w:r>
            <w:proofErr w:type="spellStart"/>
            <w:r w:rsidRPr="00D753BB">
              <w:rPr>
                <w:sz w:val="23"/>
                <w:szCs w:val="23"/>
              </w:rPr>
              <w:lastRenderedPageBreak/>
              <w:t>трубосвай</w:t>
            </w:r>
            <w:proofErr w:type="spellEnd"/>
            <w:r w:rsidRPr="00D753BB">
              <w:rPr>
                <w:sz w:val="23"/>
                <w:szCs w:val="23"/>
              </w:rPr>
              <w:t xml:space="preserve"> погружены до проектной отметки. На западной стороне Кольского залива производится подготовка к монтажу металлических пролётных строений, укрупнено на стапеле 3 пролетных строения. На восточной стороне Кольского залива по опоре ВЭ</w:t>
            </w:r>
            <w:proofErr w:type="gramStart"/>
            <w:r w:rsidRPr="00D753BB">
              <w:rPr>
                <w:sz w:val="23"/>
                <w:szCs w:val="23"/>
              </w:rPr>
              <w:t>4</w:t>
            </w:r>
            <w:proofErr w:type="gramEnd"/>
            <w:r w:rsidRPr="00D753BB">
              <w:rPr>
                <w:sz w:val="23"/>
                <w:szCs w:val="23"/>
              </w:rPr>
              <w:t xml:space="preserve"> закончены работы по устройству ростверка, выполнены работы по устройству стойки С1 с устройством прокладного слоя, стойки С2, производятся работы по устройству оголовка </w:t>
            </w:r>
            <w:r w:rsidRPr="00D753BB">
              <w:rPr>
                <w:sz w:val="23"/>
                <w:szCs w:val="23"/>
              </w:rPr>
              <w:lastRenderedPageBreak/>
              <w:t>опоры.</w:t>
            </w:r>
          </w:p>
          <w:p w:rsidR="00066D4C" w:rsidRPr="00D753BB" w:rsidRDefault="00066D4C" w:rsidP="001009A0">
            <w:pPr>
              <w:autoSpaceDE w:val="0"/>
              <w:ind w:firstLine="27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На объекте автодорожный мост через реку Кола на ПК2311 закончены работы по сооружению опор 1, 7, 8, 15; устройство свайного основания и ростверка опоры 9, забетонирована массивная часть опоры и оголовок. Погружены сваи-оболочки на опоре 10, выполнено устройство шпунтового ограждения. Производятся работы по погружению свай-оболочек на опоре 11. Ведутся работы по </w:t>
            </w:r>
            <w:r w:rsidRPr="00D753BB">
              <w:rPr>
                <w:sz w:val="23"/>
                <w:szCs w:val="23"/>
              </w:rPr>
              <w:lastRenderedPageBreak/>
              <w:t>сооружению временного моста для строительства русловых опор, смонтированы пролёты и устроено мостовое полотно в пролетах 1-2, 2-3, 3-4, 4-5, завершено устройство рабочих площадок на рабочих мостиках 1, 2, 3. Продолжается сборка специальных временных сооружений и устрой</w:t>
            </w:r>
            <w:proofErr w:type="gramStart"/>
            <w:r w:rsidRPr="00D753BB">
              <w:rPr>
                <w:sz w:val="23"/>
                <w:szCs w:val="23"/>
              </w:rPr>
              <w:t>ств дл</w:t>
            </w:r>
            <w:proofErr w:type="gramEnd"/>
            <w:r w:rsidRPr="00D753BB">
              <w:rPr>
                <w:sz w:val="23"/>
                <w:szCs w:val="23"/>
              </w:rPr>
              <w:t xml:space="preserve">я монтажа металлических пролетных строений в пролете 4-5. Ведётся монтаж металлических пролётных строений в пролетах 5-6 и 3-4, </w:t>
            </w:r>
            <w:r w:rsidRPr="00D753BB">
              <w:rPr>
                <w:sz w:val="23"/>
                <w:szCs w:val="23"/>
              </w:rPr>
              <w:lastRenderedPageBreak/>
              <w:t>смонтировано 321 т.</w:t>
            </w:r>
          </w:p>
          <w:p w:rsidR="00066D4C" w:rsidRPr="00D753BB" w:rsidRDefault="00066D4C" w:rsidP="001009A0">
            <w:pPr>
              <w:autoSpaceDE w:val="0"/>
              <w:ind w:firstLine="27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Продолжаются работы по сооружению водопропускных труб на ст. Выходной и  на перегоне ст. </w:t>
            </w:r>
            <w:proofErr w:type="gramStart"/>
            <w:r w:rsidRPr="00D753BB">
              <w:rPr>
                <w:sz w:val="23"/>
                <w:szCs w:val="23"/>
              </w:rPr>
              <w:t>Промежуточная</w:t>
            </w:r>
            <w:proofErr w:type="gramEnd"/>
            <w:r w:rsidRPr="00D753BB">
              <w:rPr>
                <w:sz w:val="23"/>
                <w:szCs w:val="23"/>
              </w:rPr>
              <w:t xml:space="preserve"> – ст. 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>.</w:t>
            </w:r>
          </w:p>
          <w:p w:rsidR="00066D4C" w:rsidRPr="00D753BB" w:rsidRDefault="00066D4C" w:rsidP="001009A0">
            <w:pPr>
              <w:ind w:firstLine="27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Государственным заказчиком совместно с инженерами строительного контроля продолжается осуществление инструментального контроля изготовленных арматурных каркасов, БНС скважин опор, контроль пробуренных скважин под буровзрывные работы, </w:t>
            </w:r>
            <w:proofErr w:type="gramStart"/>
            <w:r w:rsidRPr="00D753BB">
              <w:rPr>
                <w:sz w:val="23"/>
                <w:szCs w:val="23"/>
              </w:rPr>
              <w:lastRenderedPageBreak/>
              <w:t>контроль за</w:t>
            </w:r>
            <w:proofErr w:type="gramEnd"/>
            <w:r w:rsidRPr="00D753BB">
              <w:rPr>
                <w:sz w:val="23"/>
                <w:szCs w:val="23"/>
              </w:rPr>
              <w:t xml:space="preserve"> железобетонными конструкциями водопропускных труб и опор мостов.</w:t>
            </w: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бюджеты субъектов РФ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4 882 500,0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1 017 363,0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1 017 363,0</w:t>
            </w: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rFonts w:eastAsia="Times New Roman"/>
                <w:sz w:val="23"/>
                <w:szCs w:val="23"/>
                <w:lang w:eastAsia="ru-RU"/>
              </w:rPr>
              <w:t>«Развитие транспортного узла «</w:t>
            </w:r>
            <w:proofErr w:type="gramStart"/>
            <w:r w:rsidRPr="00D753BB">
              <w:rPr>
                <w:rFonts w:eastAsia="Times New Roman"/>
                <w:sz w:val="23"/>
                <w:szCs w:val="23"/>
                <w:lang w:eastAsia="ru-RU"/>
              </w:rPr>
              <w:t>Восточный</w:t>
            </w:r>
            <w:proofErr w:type="gramEnd"/>
            <w:r w:rsidRPr="00D753BB">
              <w:rPr>
                <w:rFonts w:eastAsia="Times New Roman"/>
                <w:sz w:val="23"/>
                <w:szCs w:val="23"/>
                <w:lang w:eastAsia="ru-RU"/>
              </w:rPr>
              <w:t xml:space="preserve"> – Находка»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1 025 286,3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1 846,0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1 846,0</w:t>
            </w:r>
          </w:p>
        </w:tc>
        <w:tc>
          <w:tcPr>
            <w:tcW w:w="2689" w:type="dxa"/>
            <w:vMerge w:val="restart"/>
          </w:tcPr>
          <w:p w:rsidR="00066D4C" w:rsidRPr="00D753BB" w:rsidRDefault="00066D4C" w:rsidP="001009A0">
            <w:pPr>
              <w:suppressAutoHyphens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  <w:lang w:val="en-US"/>
              </w:rPr>
              <w:t>I</w:t>
            </w:r>
            <w:r w:rsidRPr="00D753BB">
              <w:rPr>
                <w:sz w:val="23"/>
                <w:szCs w:val="23"/>
              </w:rPr>
              <w:t xml:space="preserve"> этап :</w:t>
            </w:r>
          </w:p>
          <w:p w:rsidR="00066D4C" w:rsidRPr="00D753BB" w:rsidRDefault="00066D4C" w:rsidP="001009A0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Вынос и переустройство инженерных сетей.</w:t>
            </w:r>
          </w:p>
          <w:p w:rsidR="00066D4C" w:rsidRPr="00D753BB" w:rsidRDefault="00066D4C" w:rsidP="001009A0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Сооружение земляного полотна  обводных путей IВ и </w:t>
            </w:r>
            <w:r w:rsidRPr="00D753BB">
              <w:rPr>
                <w:color w:val="000000"/>
                <w:sz w:val="23"/>
                <w:szCs w:val="23"/>
              </w:rPr>
              <w:t>II</w:t>
            </w:r>
            <w:proofErr w:type="gramStart"/>
            <w:r w:rsidRPr="00D753BB">
              <w:rPr>
                <w:color w:val="000000"/>
                <w:sz w:val="23"/>
                <w:szCs w:val="23"/>
              </w:rPr>
              <w:t>В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 xml:space="preserve"> на участке сопряжения с проектом АО «Восточный порт».</w:t>
            </w:r>
          </w:p>
          <w:p w:rsidR="00066D4C" w:rsidRPr="00D753BB" w:rsidRDefault="00066D4C" w:rsidP="001009A0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Водораздельная дамба на ПК 4+90 пути II</w:t>
            </w:r>
            <w:proofErr w:type="gramStart"/>
            <w:r w:rsidRPr="00D753BB">
              <w:rPr>
                <w:sz w:val="23"/>
                <w:szCs w:val="23"/>
              </w:rPr>
              <w:t>В</w:t>
            </w:r>
            <w:proofErr w:type="gramEnd"/>
            <w:r w:rsidRPr="00D753BB">
              <w:rPr>
                <w:sz w:val="23"/>
                <w:szCs w:val="23"/>
              </w:rPr>
              <w:t>.</w:t>
            </w:r>
          </w:p>
          <w:p w:rsidR="00066D4C" w:rsidRPr="00D753BB" w:rsidRDefault="00066D4C" w:rsidP="001009A0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Удлинение  ПЖБТ отв.2х1,5м на ПК </w:t>
            </w:r>
            <w:r w:rsidRPr="00D753BB">
              <w:rPr>
                <w:sz w:val="23"/>
                <w:szCs w:val="23"/>
              </w:rPr>
              <w:lastRenderedPageBreak/>
              <w:t>1+09.10.</w:t>
            </w:r>
          </w:p>
          <w:p w:rsidR="00066D4C" w:rsidRPr="00D753BB" w:rsidRDefault="00066D4C" w:rsidP="001009A0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ПЖБТ отв.1,5м на ПК 4+19.7.</w:t>
            </w:r>
          </w:p>
          <w:p w:rsidR="00066D4C" w:rsidRPr="00D753BB" w:rsidRDefault="00066D4C" w:rsidP="001009A0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автодорожного путепровода (АД ЖБП) на ПК 72+40 на участке сопряжения с проектом ООО «ВСК».</w:t>
            </w:r>
          </w:p>
          <w:p w:rsidR="00066D4C" w:rsidRPr="00D753BB" w:rsidRDefault="00066D4C" w:rsidP="001009A0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автомобильного подъезда к контейнерному терминал</w:t>
            </w:r>
            <w:proofErr w:type="gramStart"/>
            <w:r w:rsidRPr="00D753BB">
              <w:rPr>
                <w:sz w:val="23"/>
                <w:szCs w:val="23"/>
              </w:rPr>
              <w:t>у ООО</w:t>
            </w:r>
            <w:proofErr w:type="gramEnd"/>
            <w:r w:rsidRPr="00D753BB">
              <w:rPr>
                <w:sz w:val="23"/>
                <w:szCs w:val="23"/>
              </w:rPr>
              <w:t xml:space="preserve"> «ВСК» (ПК 0+06.10 - ПК 4+73.26).</w:t>
            </w:r>
          </w:p>
          <w:p w:rsidR="00066D4C" w:rsidRPr="00D753BB" w:rsidRDefault="00066D4C" w:rsidP="001009A0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Ведение мониторинговых исследований</w:t>
            </w:r>
          </w:p>
          <w:p w:rsidR="00066D4C" w:rsidRPr="00D753BB" w:rsidRDefault="00066D4C" w:rsidP="001009A0">
            <w:pPr>
              <w:suppressAutoHyphens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Разработка (корректировка) рабочей </w:t>
            </w:r>
            <w:r w:rsidRPr="00D753BB">
              <w:rPr>
                <w:sz w:val="23"/>
                <w:szCs w:val="23"/>
              </w:rPr>
              <w:lastRenderedPageBreak/>
              <w:t>документации.</w:t>
            </w:r>
          </w:p>
          <w:p w:rsidR="00066D4C" w:rsidRPr="00D753BB" w:rsidRDefault="00066D4C" w:rsidP="001009A0">
            <w:pPr>
              <w:suppressAutoHyphens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  <w:lang w:val="en-US"/>
              </w:rPr>
              <w:t xml:space="preserve">II </w:t>
            </w:r>
            <w:r w:rsidRPr="00D753BB">
              <w:rPr>
                <w:sz w:val="23"/>
                <w:szCs w:val="23"/>
              </w:rPr>
              <w:t>этап:</w:t>
            </w:r>
          </w:p>
          <w:p w:rsidR="00066D4C" w:rsidRPr="00D753BB" w:rsidRDefault="00066D4C" w:rsidP="001009A0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D753BB">
              <w:rPr>
                <w:sz w:val="23"/>
                <w:szCs w:val="23"/>
              </w:rPr>
              <w:t>Берегоукрепление</w:t>
            </w:r>
            <w:proofErr w:type="spellEnd"/>
            <w:r w:rsidRPr="00D753BB">
              <w:rPr>
                <w:sz w:val="23"/>
                <w:szCs w:val="23"/>
              </w:rPr>
              <w:t xml:space="preserve"> вертикального типа.</w:t>
            </w:r>
          </w:p>
          <w:p w:rsidR="00066D4C" w:rsidRPr="00D753BB" w:rsidRDefault="00066D4C" w:rsidP="001009A0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D753BB">
              <w:rPr>
                <w:sz w:val="23"/>
                <w:szCs w:val="23"/>
              </w:rPr>
              <w:t>Берегоукрепление</w:t>
            </w:r>
            <w:proofErr w:type="spellEnd"/>
            <w:r w:rsidRPr="00D753BB">
              <w:rPr>
                <w:sz w:val="23"/>
                <w:szCs w:val="23"/>
              </w:rPr>
              <w:t xml:space="preserve"> откосного типа</w:t>
            </w:r>
          </w:p>
          <w:p w:rsidR="00066D4C" w:rsidRPr="00D753BB" w:rsidRDefault="00066D4C" w:rsidP="001009A0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Проведение производственного экологического мониторинга при строительстве.</w:t>
            </w:r>
          </w:p>
          <w:p w:rsidR="00066D4C" w:rsidRPr="00D753BB" w:rsidRDefault="00066D4C" w:rsidP="001009A0">
            <w:pPr>
              <w:ind w:left="-102" w:right="-101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Разработка (корректировка) рабочей документации.</w:t>
            </w:r>
          </w:p>
        </w:tc>
        <w:tc>
          <w:tcPr>
            <w:tcW w:w="2551" w:type="dxa"/>
            <w:vMerge w:val="restart"/>
          </w:tcPr>
          <w:p w:rsidR="00066D4C" w:rsidRPr="00D753BB" w:rsidRDefault="00066D4C" w:rsidP="001009A0">
            <w:pPr>
              <w:ind w:left="-102"/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bCs/>
                <w:sz w:val="23"/>
                <w:szCs w:val="23"/>
              </w:rPr>
              <w:lastRenderedPageBreak/>
              <w:t xml:space="preserve">В целях </w:t>
            </w:r>
            <w:r w:rsidRPr="00D753BB">
              <w:rPr>
                <w:sz w:val="23"/>
                <w:szCs w:val="23"/>
              </w:rPr>
              <w:t xml:space="preserve">выполнения первоочередных мероприятий по обеспечению прочности, устойчивости и сохранности конструкций, оборудования, материалов и безопасности объектов инвестиционного проекта, в целях исключения риска утраты или разрушения </w:t>
            </w:r>
            <w:r w:rsidRPr="00D753BB">
              <w:rPr>
                <w:sz w:val="23"/>
                <w:szCs w:val="23"/>
              </w:rPr>
              <w:lastRenderedPageBreak/>
              <w:t>конструктивных элементов или деталей объектов незавершенного строительства федеральной собственности, выполнения работ, предусмотренных утвержденной проектно-сметной документацией в рамках строительства объектов федеральной собственности на участке сопряжения с инвестиционными проектами частных инвесторов для обеспечения эксплуатации и развития</w:t>
            </w:r>
            <w:proofErr w:type="gramEnd"/>
            <w:r w:rsidRPr="00D753BB">
              <w:rPr>
                <w:sz w:val="23"/>
                <w:szCs w:val="23"/>
              </w:rPr>
              <w:t xml:space="preserve"> </w:t>
            </w:r>
            <w:proofErr w:type="gramStart"/>
            <w:r w:rsidRPr="00D753BB">
              <w:rPr>
                <w:sz w:val="23"/>
                <w:szCs w:val="23"/>
              </w:rPr>
              <w:t xml:space="preserve">портовых </w:t>
            </w:r>
            <w:r w:rsidRPr="00D753BB">
              <w:rPr>
                <w:sz w:val="23"/>
                <w:szCs w:val="23"/>
              </w:rPr>
              <w:lastRenderedPageBreak/>
              <w:t xml:space="preserve">мощностей компаний-операторов порта, владеющих причалами в порту Восточный и осуществляющих погрузочно-разгрузочные работы на этих причалах (АО «Восточный порт» - угольный терминал ППК-3, ООО «Восточная стивидорная компания» - контейнерный терминал), </w:t>
            </w:r>
            <w:r w:rsidRPr="00D753BB">
              <w:rPr>
                <w:bCs/>
                <w:sz w:val="23"/>
                <w:szCs w:val="23"/>
              </w:rPr>
              <w:t xml:space="preserve">заключены соответствующие государственные контракты от 27.12.2018 № РТМ-424/18 </w:t>
            </w:r>
            <w:r w:rsidRPr="00D753BB">
              <w:rPr>
                <w:sz w:val="23"/>
                <w:szCs w:val="23"/>
              </w:rPr>
              <w:t xml:space="preserve">на выполнение строительных работ с разработкой рабочей </w:t>
            </w:r>
            <w:r w:rsidRPr="00D753BB">
              <w:rPr>
                <w:sz w:val="23"/>
                <w:szCs w:val="23"/>
              </w:rPr>
              <w:lastRenderedPageBreak/>
              <w:t xml:space="preserve">документации, а также </w:t>
            </w:r>
            <w:r w:rsidRPr="00D753BB">
              <w:rPr>
                <w:bCs/>
                <w:sz w:val="23"/>
                <w:szCs w:val="23"/>
              </w:rPr>
              <w:t xml:space="preserve">от 18.12.2018 № РТМ-417/18 </w:t>
            </w:r>
            <w:r w:rsidRPr="00D753BB">
              <w:rPr>
                <w:sz w:val="23"/>
                <w:szCs w:val="23"/>
              </w:rPr>
              <w:t>по строительному контролю за разработкой рабочей документации и строительством объекта</w:t>
            </w:r>
            <w:proofErr w:type="gramEnd"/>
            <w:r w:rsidRPr="00D753BB">
              <w:rPr>
                <w:sz w:val="23"/>
                <w:szCs w:val="23"/>
              </w:rPr>
              <w:t xml:space="preserve"> «Развитие транспортного узла «Восточный - Находка» (Приморский край)» Объекты федеральной собственности. «Этап I – Объекты железнодорожного транспорта» и «Этап II. Объекты морского транспорта» (Россия, Приморский край, Находкинский городской округ в </w:t>
            </w:r>
            <w:r w:rsidRPr="00D753BB">
              <w:rPr>
                <w:sz w:val="23"/>
                <w:szCs w:val="23"/>
              </w:rPr>
              <w:lastRenderedPageBreak/>
              <w:t>районе порта Восточный, Партизанский район).</w:t>
            </w:r>
          </w:p>
          <w:p w:rsidR="00066D4C" w:rsidRPr="00D753BB" w:rsidRDefault="00066D4C" w:rsidP="001009A0">
            <w:pPr>
              <w:ind w:left="-102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В соответствии с извещением от 27.03.2019 № 0373100096719000003 объявлен открытый конкурс в электронной форме на право оказания услуг по авторскому надзору за разработкой рабочей документации и строительством объекта.</w:t>
            </w:r>
          </w:p>
          <w:p w:rsidR="00066D4C" w:rsidRPr="00D753BB" w:rsidRDefault="00066D4C" w:rsidP="001009A0">
            <w:pPr>
              <w:ind w:left="-102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В рамках заключенных государственных контрактов начаты работы по с</w:t>
            </w:r>
            <w:r w:rsidRPr="00D753BB">
              <w:rPr>
                <w:iCs/>
                <w:sz w:val="23"/>
                <w:szCs w:val="23"/>
              </w:rPr>
              <w:t>ооружению земляного полотна обводного пути II</w:t>
            </w:r>
            <w:proofErr w:type="gramStart"/>
            <w:r w:rsidRPr="00D753BB">
              <w:rPr>
                <w:iCs/>
                <w:sz w:val="23"/>
                <w:szCs w:val="23"/>
              </w:rPr>
              <w:t>В</w:t>
            </w:r>
            <w:proofErr w:type="gramEnd"/>
            <w:r w:rsidRPr="00D753BB">
              <w:rPr>
                <w:iCs/>
                <w:sz w:val="23"/>
                <w:szCs w:val="23"/>
              </w:rPr>
              <w:t xml:space="preserve"> и </w:t>
            </w:r>
            <w:r w:rsidRPr="00D753BB">
              <w:rPr>
                <w:iCs/>
                <w:sz w:val="23"/>
                <w:szCs w:val="23"/>
              </w:rPr>
              <w:lastRenderedPageBreak/>
              <w:t>с</w:t>
            </w:r>
            <w:r w:rsidRPr="00D753BB">
              <w:rPr>
                <w:sz w:val="23"/>
                <w:szCs w:val="23"/>
              </w:rPr>
              <w:t xml:space="preserve">троительству прямоугольной железобетонной трубы на обводном пути </w:t>
            </w:r>
            <w:r w:rsidRPr="00D753BB">
              <w:rPr>
                <w:sz w:val="23"/>
                <w:szCs w:val="23"/>
                <w:lang w:val="en-US"/>
              </w:rPr>
              <w:t>IIB</w:t>
            </w:r>
            <w:r w:rsidRPr="00D753BB">
              <w:rPr>
                <w:sz w:val="23"/>
                <w:szCs w:val="23"/>
              </w:rPr>
              <w:t xml:space="preserve">. В соответствии с условиями заключенных государственных контрактов </w:t>
            </w:r>
            <w:r w:rsidRPr="00D753BB">
              <w:rPr>
                <w:spacing w:val="2"/>
                <w:sz w:val="23"/>
                <w:szCs w:val="23"/>
              </w:rPr>
              <w:t>приемка и оплата работ предусмотрена в конце II квартала 2019 года.</w:t>
            </w: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бюджеты субъектов РФ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08" w:right="-131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308"/>
        </w:trPr>
        <w:tc>
          <w:tcPr>
            <w:tcW w:w="15984" w:type="dxa"/>
            <w:gridSpan w:val="8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Направление (подпрограмма) «Надзор в сфере транспорта»</w:t>
            </w:r>
          </w:p>
        </w:tc>
      </w:tr>
      <w:tr w:rsidR="00E02648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  <w:vMerge w:val="restart"/>
          </w:tcPr>
          <w:p w:rsidR="00E02648" w:rsidRPr="00D753BB" w:rsidRDefault="00E0264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1.1.</w:t>
            </w:r>
          </w:p>
        </w:tc>
        <w:tc>
          <w:tcPr>
            <w:tcW w:w="3261" w:type="dxa"/>
            <w:vMerge w:val="restart"/>
          </w:tcPr>
          <w:p w:rsidR="00E02648" w:rsidRPr="00D753BB" w:rsidRDefault="00E02648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Приобретение построенных патрульных катеров длиной 13,8-15 м.</w:t>
            </w:r>
          </w:p>
        </w:tc>
        <w:tc>
          <w:tcPr>
            <w:tcW w:w="2410" w:type="dxa"/>
          </w:tcPr>
          <w:p w:rsidR="00E02648" w:rsidRPr="00D753BB" w:rsidRDefault="00E0264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193 274, 3</w:t>
            </w:r>
          </w:p>
        </w:tc>
        <w:tc>
          <w:tcPr>
            <w:tcW w:w="2272" w:type="dxa"/>
          </w:tcPr>
          <w:p w:rsidR="00E02648" w:rsidRPr="00D753BB" w:rsidRDefault="00E0264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0,00</w:t>
            </w:r>
          </w:p>
        </w:tc>
        <w:tc>
          <w:tcPr>
            <w:tcW w:w="2268" w:type="dxa"/>
            <w:gridSpan w:val="2"/>
          </w:tcPr>
          <w:p w:rsidR="00E02648" w:rsidRPr="00D753BB" w:rsidRDefault="00E0264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  <w:vMerge w:val="restart"/>
          </w:tcPr>
          <w:p w:rsidR="00E02648" w:rsidRPr="00D753BB" w:rsidRDefault="00E0264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Приобретение и поставка 4 патрульных катеров.</w:t>
            </w:r>
          </w:p>
        </w:tc>
        <w:tc>
          <w:tcPr>
            <w:tcW w:w="2551" w:type="dxa"/>
            <w:vMerge w:val="restart"/>
          </w:tcPr>
          <w:p w:rsidR="00E02648" w:rsidRPr="00D753BB" w:rsidRDefault="00E02648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Заключен </w:t>
            </w:r>
            <w:proofErr w:type="spellStart"/>
            <w:r w:rsidRPr="00D753BB">
              <w:rPr>
                <w:sz w:val="23"/>
                <w:szCs w:val="23"/>
              </w:rPr>
              <w:t>госконтракт</w:t>
            </w:r>
            <w:proofErr w:type="spellEnd"/>
            <w:r w:rsidRPr="00D753BB">
              <w:rPr>
                <w:sz w:val="23"/>
                <w:szCs w:val="23"/>
              </w:rPr>
              <w:t>.</w:t>
            </w: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0,00</w:t>
            </w: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0,00</w:t>
            </w: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15984" w:type="dxa"/>
            <w:gridSpan w:val="8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Направление (подпрограмма) «Комплексное развитие транспортных узлов»</w:t>
            </w: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  <w:lang w:val="en-US"/>
              </w:rPr>
            </w:pPr>
            <w:r w:rsidRPr="00D753BB">
              <w:rPr>
                <w:b/>
                <w:sz w:val="23"/>
                <w:szCs w:val="23"/>
                <w:lang w:val="en-US"/>
              </w:rPr>
              <w:t>I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pStyle w:val="2"/>
              <w:spacing w:after="0" w:line="240" w:lineRule="auto"/>
              <w:ind w:left="-142" w:right="-108"/>
              <w:contextualSpacing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«Создание сухогрузного района морского порта Тамань»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8 805 168,1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11 398 799,6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8 719 416,5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1.1.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8 805 168,1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11 398 799,6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8 719 416,5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1. Завершение повторной корректировки </w:t>
            </w:r>
            <w:r w:rsidRPr="00D753BB">
              <w:rPr>
                <w:spacing w:val="-6"/>
                <w:sz w:val="23"/>
                <w:szCs w:val="23"/>
              </w:rPr>
              <w:t>проектно-</w:t>
            </w:r>
            <w:r w:rsidRPr="00D753BB">
              <w:rPr>
                <w:spacing w:val="-6"/>
                <w:sz w:val="23"/>
                <w:szCs w:val="23"/>
              </w:rPr>
              <w:lastRenderedPageBreak/>
              <w:t xml:space="preserve">сметной документации по объекту </w:t>
            </w:r>
            <w:r w:rsidRPr="00D753BB">
              <w:rPr>
                <w:sz w:val="23"/>
                <w:szCs w:val="23"/>
              </w:rPr>
              <w:t xml:space="preserve">«Создание сухогрузного района морского порта Тамань» (объекты </w:t>
            </w:r>
            <w:r w:rsidRPr="00D753BB">
              <w:rPr>
                <w:spacing w:val="-2"/>
                <w:sz w:val="23"/>
                <w:szCs w:val="23"/>
              </w:rPr>
              <w:t>федеральной собственности)». Этап 1. Объекты железнодорожной инфраструктуры</w:t>
            </w:r>
            <w:r w:rsidRPr="00D753BB">
              <w:rPr>
                <w:sz w:val="23"/>
                <w:szCs w:val="23"/>
              </w:rPr>
              <w:t xml:space="preserve"> федеральной собственности, обеспечивающие подход к транспортному переходу через Керченский пролив», с получением положительного заключения ФАУ «</w:t>
            </w:r>
            <w:proofErr w:type="spellStart"/>
            <w:r w:rsidRPr="00D753BB">
              <w:rPr>
                <w:sz w:val="23"/>
                <w:szCs w:val="23"/>
              </w:rPr>
              <w:t>Главгосэкспертиза</w:t>
            </w:r>
            <w:proofErr w:type="spellEnd"/>
            <w:r w:rsidRPr="00D753BB">
              <w:rPr>
                <w:sz w:val="23"/>
                <w:szCs w:val="23"/>
              </w:rPr>
              <w:t xml:space="preserve"> России», в части оптимизации технологических параметров станции </w:t>
            </w:r>
            <w:proofErr w:type="gramStart"/>
            <w:r w:rsidRPr="00D753BB">
              <w:rPr>
                <w:sz w:val="23"/>
                <w:szCs w:val="23"/>
              </w:rPr>
              <w:t>Тамань-Пассажирская</w:t>
            </w:r>
            <w:proofErr w:type="gramEnd"/>
            <w:r w:rsidRPr="00D753BB">
              <w:rPr>
                <w:sz w:val="23"/>
                <w:szCs w:val="23"/>
              </w:rPr>
              <w:t xml:space="preserve"> (в </w:t>
            </w:r>
            <w:r w:rsidRPr="00D753BB">
              <w:rPr>
                <w:sz w:val="23"/>
                <w:szCs w:val="23"/>
              </w:rPr>
              <w:lastRenderedPageBreak/>
              <w:t>соответствии с поручением по п. 9 протокола совещания у Председателя Правительства Российской Федерации Д.А. Медведева от 27.07.2017 № ДМ-П16-49пр);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2. </w:t>
            </w:r>
            <w:proofErr w:type="spellStart"/>
            <w:r w:rsidRPr="00D753BB">
              <w:rPr>
                <w:sz w:val="23"/>
                <w:szCs w:val="23"/>
              </w:rPr>
              <w:t>Ззавершение</w:t>
            </w:r>
            <w:proofErr w:type="spellEnd"/>
            <w:r w:rsidRPr="00D753BB">
              <w:rPr>
                <w:sz w:val="23"/>
                <w:szCs w:val="23"/>
              </w:rPr>
              <w:t xml:space="preserve"> строительства железнодорожного подхода к транспортному переходу через Керченский пролив и ввод его во временную эксплуатацию для движения хозяйственных поездов, используемых при строительстве транспортного перехода;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3. Завершение проектирования по объекту по объекту </w:t>
            </w:r>
            <w:r w:rsidRPr="00D753BB">
              <w:rPr>
                <w:spacing w:val="-2"/>
                <w:sz w:val="23"/>
                <w:szCs w:val="23"/>
              </w:rPr>
              <w:t xml:space="preserve">«Создание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сухогрузного</w:t>
            </w:r>
            <w:r w:rsidRPr="00D753BB">
              <w:rPr>
                <w:sz w:val="23"/>
                <w:szCs w:val="23"/>
              </w:rPr>
              <w:t xml:space="preserve"> района морского порта Тамань» (объекты федеральной собственности)». Этап </w:t>
            </w:r>
            <w:r w:rsidRPr="00D753BB">
              <w:rPr>
                <w:spacing w:val="-6"/>
                <w:sz w:val="23"/>
                <w:szCs w:val="23"/>
              </w:rPr>
              <w:t xml:space="preserve">2. </w:t>
            </w:r>
            <w:r w:rsidRPr="00D753BB">
              <w:rPr>
                <w:sz w:val="23"/>
                <w:szCs w:val="23"/>
              </w:rPr>
              <w:t>Объекты федеральной собственности, необходимые для обеспечения деятельности сухогрузного района морского порта Тамань» и передача проектно-сметной документации в ФАУ «</w:t>
            </w:r>
            <w:proofErr w:type="spellStart"/>
            <w:r w:rsidRPr="00D753BB">
              <w:rPr>
                <w:sz w:val="23"/>
                <w:szCs w:val="23"/>
              </w:rPr>
              <w:t>Главгосэкспертиза</w:t>
            </w:r>
            <w:proofErr w:type="spellEnd"/>
            <w:r w:rsidRPr="00D753BB">
              <w:rPr>
                <w:sz w:val="23"/>
                <w:szCs w:val="23"/>
              </w:rPr>
              <w:t xml:space="preserve"> России».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 xml:space="preserve">В отчетном периоде на объекте были </w:t>
            </w:r>
            <w:r w:rsidRPr="00D753BB">
              <w:rPr>
                <w:sz w:val="23"/>
                <w:szCs w:val="23"/>
              </w:rPr>
              <w:lastRenderedPageBreak/>
              <w:t>произведены следующие работы:</w:t>
            </w:r>
          </w:p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sz w:val="23"/>
                <w:szCs w:val="23"/>
              </w:rPr>
              <w:t xml:space="preserve">- строительство станции </w:t>
            </w:r>
            <w:proofErr w:type="spellStart"/>
            <w:r w:rsidRPr="00D753BB">
              <w:rPr>
                <w:sz w:val="23"/>
                <w:szCs w:val="23"/>
              </w:rPr>
              <w:t>Вышестеблиевская</w:t>
            </w:r>
            <w:proofErr w:type="spellEnd"/>
            <w:r w:rsidRPr="00D753BB">
              <w:rPr>
                <w:sz w:val="23"/>
                <w:szCs w:val="23"/>
              </w:rPr>
              <w:t xml:space="preserve">, в том числе выполнено устройство земляного полотна (выполнено на 100%), укладка верхнего строения пути (выполнено 89%), стрелочных переводов (выполнено 76%), балластировка пути (выполнено 85%), а также строительство инженерных сетей и объектов инфраструктуры станции (тяговой подстанции, кабельных линий сигнализации, централизации и </w:t>
            </w:r>
            <w:r w:rsidRPr="00D753BB">
              <w:rPr>
                <w:sz w:val="23"/>
                <w:szCs w:val="23"/>
              </w:rPr>
              <w:lastRenderedPageBreak/>
              <w:t>блокировки (СЦБ) и электроснабжения, контактной сети, устройств освещения, локальных очистных сооружений, железнодорожной платформы, пешеходного моста через железнодорожные</w:t>
            </w:r>
            <w:proofErr w:type="gramEnd"/>
            <w:r w:rsidRPr="00D753BB">
              <w:rPr>
                <w:sz w:val="23"/>
                <w:szCs w:val="23"/>
              </w:rPr>
              <w:t xml:space="preserve"> пути, производственных и административных зданий и помещений - общая готовность около 68%);</w:t>
            </w:r>
          </w:p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sz w:val="23"/>
                <w:szCs w:val="23"/>
              </w:rPr>
              <w:t xml:space="preserve">- строительство на перегоне ст. </w:t>
            </w:r>
            <w:proofErr w:type="spellStart"/>
            <w:r w:rsidRPr="00D753BB">
              <w:rPr>
                <w:sz w:val="23"/>
                <w:szCs w:val="23"/>
              </w:rPr>
              <w:t>Вышестеблиевская</w:t>
            </w:r>
            <w:proofErr w:type="spellEnd"/>
            <w:r w:rsidRPr="00D753BB">
              <w:rPr>
                <w:sz w:val="23"/>
                <w:szCs w:val="23"/>
              </w:rPr>
              <w:t xml:space="preserve"> (0 км) - обгонный пункт (22 км), где уже завершены работы по устройству земляного полотна, </w:t>
            </w:r>
            <w:r w:rsidRPr="00D753BB">
              <w:rPr>
                <w:sz w:val="23"/>
                <w:szCs w:val="23"/>
              </w:rPr>
              <w:lastRenderedPageBreak/>
              <w:t>строительству водопропускных труб, 2-х металлических мостов, укладке пути и продолжаются работы по строительству автодорожного путепровода (сооружение фундаментов и опор выполнено полностью, работы по монтажу путепровода и строительству подходов к нему выполнены на 65%), балластировке пути (выполнено 86%), устройству контактной сети (фундаменты</w:t>
            </w:r>
            <w:proofErr w:type="gramEnd"/>
            <w:r w:rsidRPr="00D753BB">
              <w:rPr>
                <w:sz w:val="23"/>
                <w:szCs w:val="23"/>
              </w:rPr>
              <w:t xml:space="preserve"> и опоры выполнены на 99%, монтаж и обустройство - на 75%), и осуществляется </w:t>
            </w:r>
            <w:r w:rsidRPr="00D753BB">
              <w:rPr>
                <w:sz w:val="23"/>
                <w:szCs w:val="23"/>
              </w:rPr>
              <w:lastRenderedPageBreak/>
              <w:t>строительство объектов транспортной безопасности, включая сканирующий инспекционно-досмотровый комплекс (СИДК) в районе 75 пикета;</w:t>
            </w:r>
          </w:p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sz w:val="23"/>
                <w:szCs w:val="23"/>
              </w:rPr>
              <w:t>- строительство на обгонном пункте 22 км, где, в том числе по концессионному соглашению Федерального агентства железнодорожного транспорта с ЗАО «</w:t>
            </w:r>
            <w:proofErr w:type="spellStart"/>
            <w:r w:rsidRPr="00D753BB">
              <w:rPr>
                <w:sz w:val="23"/>
                <w:szCs w:val="23"/>
              </w:rPr>
              <w:t>Таманьнефтегаз</w:t>
            </w:r>
            <w:proofErr w:type="spellEnd"/>
            <w:r w:rsidRPr="00D753BB">
              <w:rPr>
                <w:sz w:val="23"/>
                <w:szCs w:val="23"/>
              </w:rPr>
              <w:t xml:space="preserve">» полностью выполнено устройство земляного полотна и осуществляется укладка (выполнено 71%) и </w:t>
            </w:r>
            <w:r w:rsidRPr="00D753BB">
              <w:rPr>
                <w:sz w:val="23"/>
                <w:szCs w:val="23"/>
              </w:rPr>
              <w:lastRenderedPageBreak/>
              <w:t>балластировка (выполнено 39%) пути и стрелочных переводов (выполнено 86%), завершается строительство контактной сети (выполнено 54%), инженерных сетей, производственных объектов и объектов транспортной безопасности (выполнено 9%);</w:t>
            </w:r>
            <w:proofErr w:type="gramEnd"/>
          </w:p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- строительство на участке 23 км - 29 км, где полностью выполнено устройство земляного полотна и строительство водопропускных труб и контактной сети и завершается укладка </w:t>
            </w:r>
            <w:r w:rsidRPr="00D753BB">
              <w:rPr>
                <w:sz w:val="23"/>
                <w:szCs w:val="23"/>
              </w:rPr>
              <w:lastRenderedPageBreak/>
              <w:t xml:space="preserve">(выполнено 98%) и балластировка (выполнено </w:t>
            </w:r>
            <w:proofErr w:type="gramStart"/>
            <w:r w:rsidRPr="00D753BB">
              <w:rPr>
                <w:sz w:val="23"/>
                <w:szCs w:val="23"/>
              </w:rPr>
              <w:t>68%) пу</w:t>
            </w:r>
            <w:proofErr w:type="gramEnd"/>
            <w:r w:rsidRPr="00D753BB">
              <w:rPr>
                <w:sz w:val="23"/>
                <w:szCs w:val="23"/>
              </w:rPr>
              <w:t>ти, завершается строительство железнодорожного путепровода на ПК 237 (выполнено 95%), автодорожного путепровода на ПК 267 (выполнено 95%), железнодорожного моста на ПК 277 (выполнено 96%), объектов транспортной безопасности;</w:t>
            </w:r>
          </w:p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sz w:val="23"/>
                <w:szCs w:val="23"/>
              </w:rPr>
              <w:t xml:space="preserve">- строительство станции Тамань-Пассажирская, где завершается устройство земляного полотна (выполнено 98%), осуществляется </w:t>
            </w:r>
            <w:r w:rsidRPr="00D753BB">
              <w:rPr>
                <w:sz w:val="23"/>
                <w:szCs w:val="23"/>
              </w:rPr>
              <w:lastRenderedPageBreak/>
              <w:t>строительство водопропускных труб (выполнено 80%), укладка (выполнено 30%) и балластировка (выполнено 34%) пути, укладка стрелочных переводов (выполнено 16%), завершается строительство пешеходного тоннеля на ПК 323 (выполнено 90%), железнодорожного путепровода на ПК 329 (выполнено 70%), контактной сети (выполнено 25%) и строительство тяговой подстанции и объектов транспортной безопасности, включая инспекционно-</w:t>
            </w:r>
            <w:r w:rsidRPr="00D753BB">
              <w:rPr>
                <w:sz w:val="23"/>
                <w:szCs w:val="23"/>
              </w:rPr>
              <w:lastRenderedPageBreak/>
              <w:t>досмотровый комплекс</w:t>
            </w:r>
            <w:proofErr w:type="gramEnd"/>
            <w:r w:rsidRPr="00D753BB">
              <w:rPr>
                <w:sz w:val="23"/>
                <w:szCs w:val="23"/>
              </w:rPr>
              <w:t xml:space="preserve"> (</w:t>
            </w:r>
            <w:proofErr w:type="gramStart"/>
            <w:r w:rsidRPr="00D753BB">
              <w:rPr>
                <w:sz w:val="23"/>
                <w:szCs w:val="23"/>
              </w:rPr>
              <w:t>ИДК) зоны усиленного досмотра железнодорожных составов;- строительство на перегоне ст. Тамань-Пассажирская (36 км) - восточный вход транспортного перехода, где осуществлено устройство выемки в объеме 2 млн. куб. м.</w:t>
            </w:r>
            <w:proofErr w:type="gramEnd"/>
          </w:p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Целевая задача 2018 г. выполнена, движение рабочих поездов по железнодорожному подходу со стороны Таманского полуострова для укладки и балластировки верхнего строения пути на транспортном переходе </w:t>
            </w:r>
            <w:r w:rsidRPr="00D753BB">
              <w:rPr>
                <w:sz w:val="23"/>
                <w:szCs w:val="23"/>
              </w:rPr>
              <w:lastRenderedPageBreak/>
              <w:t>через Керченский пролив открыто с июля 2018 г.</w:t>
            </w:r>
          </w:p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Во исполнение поручений Президента Российской Федерации В.В. Путина от 10.04.2014 № Пр-866, № Пр-988, от 14.08.2014 № Пр-1969 и от 23.09.2014      № Пр-2656 строительство железнодорожных подходов к транспортному переходу через Керченский пролив со стороны Таманского полуострова в рамках инвестиционного проекта «Создание сухогрузного района морского порта Тамань» осуществляется с 2014 </w:t>
            </w:r>
            <w:proofErr w:type="spellStart"/>
            <w:r w:rsidRPr="00D753BB">
              <w:rPr>
                <w:sz w:val="23"/>
                <w:szCs w:val="23"/>
              </w:rPr>
              <w:t>года</w:t>
            </w:r>
            <w:proofErr w:type="gramStart"/>
            <w:r w:rsidRPr="00D753BB">
              <w:rPr>
                <w:sz w:val="23"/>
                <w:szCs w:val="23"/>
              </w:rPr>
              <w:t>.В</w:t>
            </w:r>
            <w:proofErr w:type="spellEnd"/>
            <w:proofErr w:type="gramEnd"/>
            <w:r w:rsidRPr="00D753BB">
              <w:rPr>
                <w:sz w:val="23"/>
                <w:szCs w:val="23"/>
              </w:rPr>
              <w:t xml:space="preserve"> рамках приведения контрактных </w:t>
            </w:r>
            <w:r w:rsidRPr="00D753BB">
              <w:rPr>
                <w:sz w:val="23"/>
                <w:szCs w:val="23"/>
              </w:rPr>
              <w:lastRenderedPageBreak/>
              <w:t xml:space="preserve">отношений между государственным заказчиком в лице ФКУ «Ространсмодернизация» (далее – </w:t>
            </w:r>
            <w:proofErr w:type="gramStart"/>
            <w:r w:rsidRPr="00D753BB">
              <w:rPr>
                <w:sz w:val="23"/>
                <w:szCs w:val="23"/>
              </w:rPr>
              <w:t xml:space="preserve">Учреждение) и генеральным подрядчиком в лице ОАО «РЖД» при строительстве железнодорожного подхода к транспортному переходу через Керченский пролив со стороны Таманского полуострова в соответствие с откорректированной проектно-сметной документацией, получившей положительные заключения ФАУ </w:t>
            </w:r>
            <w:r w:rsidRPr="00D753BB">
              <w:rPr>
                <w:sz w:val="23"/>
                <w:szCs w:val="23"/>
              </w:rPr>
              <w:lastRenderedPageBreak/>
              <w:t>«</w:t>
            </w:r>
            <w:proofErr w:type="spellStart"/>
            <w:r w:rsidRPr="00D753BB">
              <w:rPr>
                <w:sz w:val="23"/>
                <w:szCs w:val="23"/>
              </w:rPr>
              <w:t>Главгосэкспертизы</w:t>
            </w:r>
            <w:proofErr w:type="spellEnd"/>
            <w:r w:rsidRPr="00D753BB">
              <w:rPr>
                <w:sz w:val="23"/>
                <w:szCs w:val="23"/>
              </w:rPr>
              <w:t xml:space="preserve"> России» в 2017 г., с учетом изменения состава работ, а также увеличения их объемов и стоимости, в целях эффективного администрирования обязательств по государственным контрактам и контроля за</w:t>
            </w:r>
            <w:proofErr w:type="gramEnd"/>
            <w:r w:rsidRPr="00D753BB">
              <w:rPr>
                <w:sz w:val="23"/>
                <w:szCs w:val="23"/>
              </w:rPr>
              <w:t xml:space="preserve"> их исполнением, Правительством Российской Федерации на основании письма Минтранса России от 21.08.2017 № МС-11/12006-ДСП дано поручение от 28.08.2017 № АД-П9-5628 обеспечить в рамках действующего </w:t>
            </w:r>
            <w:r w:rsidRPr="00D753BB">
              <w:rPr>
                <w:sz w:val="23"/>
                <w:szCs w:val="23"/>
              </w:rPr>
              <w:lastRenderedPageBreak/>
              <w:t xml:space="preserve">законодательства заключение нового единого государственного контракта на строительство объекта с применением для прекращения обязательств по ранее действовавшим контрактам механизма новации, предусмотренного ст. 414 Гражданского кодекса Российской </w:t>
            </w:r>
            <w:proofErr w:type="spellStart"/>
            <w:r w:rsidRPr="00D753BB">
              <w:rPr>
                <w:sz w:val="23"/>
                <w:szCs w:val="23"/>
              </w:rPr>
              <w:t>Федерации</w:t>
            </w:r>
            <w:proofErr w:type="gramStart"/>
            <w:r w:rsidRPr="00D753BB">
              <w:rPr>
                <w:sz w:val="23"/>
                <w:szCs w:val="23"/>
              </w:rPr>
              <w:t>.В</w:t>
            </w:r>
            <w:proofErr w:type="spellEnd"/>
            <w:proofErr w:type="gramEnd"/>
            <w:r w:rsidRPr="00D753BB">
              <w:rPr>
                <w:sz w:val="23"/>
                <w:szCs w:val="23"/>
              </w:rPr>
              <w:t xml:space="preserve"> рамках исполнения вышеуказанного поручения утверждено распоряжение Правительства Российской Федерации от 04.10.2017 № 2157-р об </w:t>
            </w:r>
            <w:r w:rsidRPr="00D753BB">
              <w:rPr>
                <w:sz w:val="23"/>
                <w:szCs w:val="23"/>
              </w:rPr>
              <w:lastRenderedPageBreak/>
              <w:t>осуществлении казначейского сопровождения нового единого государственного контракта.</w:t>
            </w:r>
          </w:p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sz w:val="23"/>
                <w:szCs w:val="23"/>
              </w:rPr>
              <w:t xml:space="preserve">10.10.2017  между Учреждением и ДКРС ОАО «РЖД» подписано соглашение о новации № РТМ-121/14-72/15-243/16, обязательства, вытекающие из государственных контрактов на разработку рабочей документации и строительство объекта «Создание сухогрузного района морского порта Тамань» от 15.12.2014 № РТМ-121/14, от 11.08.2015 № РТМ-72/15 </w:t>
            </w:r>
            <w:r w:rsidRPr="00D753BB">
              <w:rPr>
                <w:sz w:val="23"/>
                <w:szCs w:val="23"/>
              </w:rPr>
              <w:lastRenderedPageBreak/>
              <w:t>и от 19.12.2016 № РТМ-243/16 были прекращены, бюджетные обязательства сняты.09.11.2017 в соответствии с соглашением о новации между Учреждением</w:t>
            </w:r>
            <w:proofErr w:type="gramEnd"/>
            <w:r w:rsidRPr="00D753BB">
              <w:rPr>
                <w:sz w:val="23"/>
                <w:szCs w:val="23"/>
              </w:rPr>
              <w:t xml:space="preserve"> и ОАО «РЖД» подписан  новый единый государственный контракт № РТМ-200/17 на разработку рабочей документации и строительство объекта «Создание сухогрузного района морского порта Тамань», по которому приняты бюджетные обязательства в Федеральном казначействе по г. </w:t>
            </w:r>
            <w:proofErr w:type="spellStart"/>
            <w:r w:rsidRPr="00D753BB">
              <w:rPr>
                <w:sz w:val="23"/>
                <w:szCs w:val="23"/>
              </w:rPr>
              <w:t>Москве</w:t>
            </w:r>
            <w:proofErr w:type="gramStart"/>
            <w:r w:rsidRPr="00D753BB">
              <w:rPr>
                <w:sz w:val="23"/>
                <w:szCs w:val="23"/>
              </w:rPr>
              <w:t>.В</w:t>
            </w:r>
            <w:proofErr w:type="gramEnd"/>
            <w:r w:rsidRPr="00D753BB">
              <w:rPr>
                <w:sz w:val="23"/>
                <w:szCs w:val="23"/>
              </w:rPr>
              <w:t>о</w:t>
            </w:r>
            <w:proofErr w:type="spellEnd"/>
            <w:r w:rsidRPr="00D753BB">
              <w:rPr>
                <w:sz w:val="23"/>
                <w:szCs w:val="23"/>
              </w:rPr>
              <w:t xml:space="preserve"> исполнение п. </w:t>
            </w:r>
            <w:r w:rsidRPr="00D753BB">
              <w:rPr>
                <w:sz w:val="23"/>
                <w:szCs w:val="23"/>
              </w:rPr>
              <w:lastRenderedPageBreak/>
              <w:t>2 поручения Заместителя Председателя Правительства Российской Федерации Д.Н. Козака от 09.10.2014 № ДК-П9-7603, а также в соответствии с распоряжением Правительства Российской Федерации от 06.11.2014 № 2215-р (ред. от 12.09.2015) и постановлением Правительства Российской Федерации от 02.06.2015 № 532 между Учреждением и ОАО «РЖД» был заключен государственный контракт от 10.06.2016 № РТМ-58/16 на выполнение проектно-</w:t>
            </w:r>
            <w:r w:rsidRPr="00D753BB">
              <w:rPr>
                <w:sz w:val="23"/>
                <w:szCs w:val="23"/>
              </w:rPr>
              <w:lastRenderedPageBreak/>
              <w:t>изыскательских работ по объекту «Создание сухогрузного района морского порта Тамань» (объекты федеральной собственности). Корректировка».</w:t>
            </w:r>
          </w:p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 2017 году были выполнены и оплачены работы по корректировке проектной документации в части создания железнодорожных подходов к сухогрузному району морского порта Тамань и транспортному переходу через Керченский пролив со стороны Таманского полуострова.</w:t>
            </w:r>
          </w:p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sz w:val="23"/>
                <w:szCs w:val="23"/>
              </w:rPr>
              <w:t xml:space="preserve">Вместе с тем, в соответствии с пунктом </w:t>
            </w:r>
            <w:r w:rsidRPr="00D753BB">
              <w:rPr>
                <w:sz w:val="23"/>
                <w:szCs w:val="23"/>
              </w:rPr>
              <w:lastRenderedPageBreak/>
              <w:t xml:space="preserve">19 протокола совещания у Председателя Правительства Российской Федерации Д.А. Медведева от 27.07.2017 № ДМ-П16-49пр Минтрансу России поручено обеспечить дополнительную корректировку проектной документации по объекту «Создание сухогрузного района морского порта Тамань» в части оптимизации технологических параметров станции Тамань-Пассажирская, приостановив до момента проведения корректировки проведение работ в </w:t>
            </w:r>
            <w:r w:rsidRPr="00D753BB">
              <w:rPr>
                <w:sz w:val="23"/>
                <w:szCs w:val="23"/>
              </w:rPr>
              <w:lastRenderedPageBreak/>
              <w:t>объеме, предполагаемом к исключению в корректировке проектной документации</w:t>
            </w:r>
            <w:proofErr w:type="gramEnd"/>
            <w:r w:rsidRPr="00D753BB">
              <w:rPr>
                <w:sz w:val="23"/>
                <w:szCs w:val="23"/>
              </w:rPr>
              <w:t xml:space="preserve"> (</w:t>
            </w:r>
            <w:proofErr w:type="gramStart"/>
            <w:r w:rsidRPr="00D753BB">
              <w:rPr>
                <w:sz w:val="23"/>
                <w:szCs w:val="23"/>
              </w:rPr>
              <w:t>строительно-монтажные работы в рамках заключенных государственных контрактов ведутся на участках, не требующих корректировки проектно-сметной документации, получившей положительное заключение государственной экспертизы).</w:t>
            </w:r>
            <w:proofErr w:type="gramEnd"/>
          </w:p>
          <w:p w:rsidR="00066D4C" w:rsidRPr="00D753BB" w:rsidRDefault="00066D4C" w:rsidP="001009A0">
            <w:pPr>
              <w:tabs>
                <w:tab w:val="left" w:pos="1134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При этом указанные дополнительные работы по корректировке проектной документации не были учтены в составе </w:t>
            </w:r>
            <w:r w:rsidRPr="00D753BB">
              <w:rPr>
                <w:sz w:val="23"/>
                <w:szCs w:val="23"/>
              </w:rPr>
              <w:lastRenderedPageBreak/>
              <w:t xml:space="preserve">государственного контракта от 10.06.2016 № РТМ-58/16 при его заключении. Учреждением совместно с ОАО «РЖД» согласован сметный расчет стоимости указанной корректировки в части оптимизации технологических параметров станции </w:t>
            </w:r>
            <w:proofErr w:type="gramStart"/>
            <w:r w:rsidRPr="00D753BB">
              <w:rPr>
                <w:sz w:val="23"/>
                <w:szCs w:val="23"/>
              </w:rPr>
              <w:t>Тамань-Пассажирская</w:t>
            </w:r>
            <w:proofErr w:type="gramEnd"/>
            <w:r w:rsidRPr="00D753BB">
              <w:rPr>
                <w:sz w:val="23"/>
                <w:szCs w:val="23"/>
              </w:rPr>
              <w:t xml:space="preserve"> в размере 172 285,8 тыс. рублей с учетом дополнительных расходов на непредвиденные проектные решения в соответствии с поручением Председателя Правительства </w:t>
            </w:r>
            <w:r w:rsidRPr="00D753BB">
              <w:rPr>
                <w:sz w:val="23"/>
                <w:szCs w:val="23"/>
              </w:rPr>
              <w:lastRenderedPageBreak/>
              <w:t xml:space="preserve">Российской Федерации Д.А. Медведева. </w:t>
            </w:r>
            <w:proofErr w:type="gramStart"/>
            <w:r w:rsidRPr="00D753BB">
              <w:rPr>
                <w:sz w:val="23"/>
                <w:szCs w:val="23"/>
              </w:rPr>
              <w:t xml:space="preserve">Дополнительная компенсация расходов по корректировке проектно-сметной документации в связи с изменением существенных условий проектирования в части железнодорожных подходов к транспортному переходу через Керченский пролив в указанном объеме в 2018 году была учтена в изменениях в федеральную адресную инвестиционную программу на 2018 год и на плановый период 2019 и 2020 годов, утвержденных письмом </w:t>
            </w:r>
            <w:r w:rsidRPr="00D753BB">
              <w:rPr>
                <w:sz w:val="23"/>
                <w:szCs w:val="23"/>
              </w:rPr>
              <w:lastRenderedPageBreak/>
              <w:t>Минэкономразвития России от 07.09.2018 № 25487-АТ/Д17и, с одновременным</w:t>
            </w:r>
            <w:proofErr w:type="gramEnd"/>
            <w:r w:rsidRPr="00D753BB">
              <w:rPr>
                <w:sz w:val="23"/>
                <w:szCs w:val="23"/>
              </w:rPr>
              <w:t xml:space="preserve"> переносом на 2019 год срока завершения работ по проектированию объектов федеральной собственности, необходимых для обеспечения деятельности сухогрузного района морского порта Тамань.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sz w:val="23"/>
                <w:szCs w:val="23"/>
              </w:rPr>
              <w:t xml:space="preserve">Откорректированная проектно-сметная документация, согласованная с заинтересованными организациями (ОАО «РЖД», Федеральное агентство </w:t>
            </w:r>
            <w:r w:rsidRPr="00D753BB">
              <w:rPr>
                <w:sz w:val="23"/>
                <w:szCs w:val="23"/>
              </w:rPr>
              <w:lastRenderedPageBreak/>
              <w:t>железнодорожного транспорта, ПАО «Кубаньэнерго», ЗАО «</w:t>
            </w:r>
            <w:proofErr w:type="spellStart"/>
            <w:r w:rsidRPr="00D753BB">
              <w:rPr>
                <w:sz w:val="23"/>
                <w:szCs w:val="23"/>
              </w:rPr>
              <w:t>Таманьнефтегаз</w:t>
            </w:r>
            <w:proofErr w:type="spellEnd"/>
            <w:r w:rsidRPr="00D753BB">
              <w:rPr>
                <w:sz w:val="23"/>
                <w:szCs w:val="23"/>
              </w:rPr>
              <w:t>»), была представлена в ФАУ «</w:t>
            </w:r>
            <w:proofErr w:type="spellStart"/>
            <w:r w:rsidRPr="00D753BB">
              <w:rPr>
                <w:sz w:val="23"/>
                <w:szCs w:val="23"/>
              </w:rPr>
              <w:t>Главгосэкспертиза</w:t>
            </w:r>
            <w:proofErr w:type="spellEnd"/>
            <w:r w:rsidRPr="00D753BB">
              <w:rPr>
                <w:sz w:val="23"/>
                <w:szCs w:val="23"/>
              </w:rPr>
              <w:t xml:space="preserve"> России» (рег. от 26.07.2018 № 02042-18/ГГЭ-06503), были заключены договора на ее государственную экспертизу и проверку достоверности определения сметной стоимости от 31.08.2017 № 1033Д-18/ГГЭ-06503/15-01/ГС и № 1034Д-18/ГГЭ-06503/07-01/СГ.</w:t>
            </w:r>
            <w:proofErr w:type="gramEnd"/>
            <w:r w:rsidRPr="00D753BB">
              <w:rPr>
                <w:sz w:val="23"/>
                <w:szCs w:val="23"/>
              </w:rPr>
              <w:t xml:space="preserve"> Однако, на проведенном выездном совещании в штабе строительства объекта в </w:t>
            </w:r>
            <w:r w:rsidRPr="00D753BB">
              <w:rPr>
                <w:sz w:val="23"/>
                <w:szCs w:val="23"/>
              </w:rPr>
              <w:lastRenderedPageBreak/>
              <w:t>Тамани с участием в режиме видеоконференции генерального директора ОАО «РЖД» О.В. Белозёрова (протокол от 16.11.2018 № ОТ-74/</w:t>
            </w:r>
            <w:proofErr w:type="spellStart"/>
            <w:proofErr w:type="gramStart"/>
            <w:r w:rsidRPr="00D753BB">
              <w:rPr>
                <w:sz w:val="23"/>
                <w:szCs w:val="23"/>
              </w:rPr>
              <w:t>пр</w:t>
            </w:r>
            <w:proofErr w:type="spellEnd"/>
            <w:proofErr w:type="gramEnd"/>
            <w:r w:rsidRPr="00D753BB">
              <w:rPr>
                <w:sz w:val="23"/>
                <w:szCs w:val="23"/>
              </w:rPr>
              <w:t xml:space="preserve">) было принято решение о приостановке проведения государственной экспертизы проектной документации до решения ряда объективно возникших проблемных вопросов. </w:t>
            </w:r>
            <w:proofErr w:type="gramStart"/>
            <w:r w:rsidRPr="00D753BB">
              <w:rPr>
                <w:sz w:val="23"/>
                <w:szCs w:val="23"/>
              </w:rPr>
              <w:t xml:space="preserve">При этом тем же протоколом был определен срок (до 10 марта 2019 г.) для повторной передачи откорректированной проектной документации на государственную </w:t>
            </w:r>
            <w:r w:rsidRPr="00D753BB">
              <w:rPr>
                <w:sz w:val="23"/>
                <w:szCs w:val="23"/>
              </w:rPr>
              <w:lastRenderedPageBreak/>
              <w:t>экспертизу в целях соблюдения директивного срока завершения строительства железнодорожного подхода к транспортному переходу через Керченский пролив с обеспечением возможности открытия движения грузовых и пассажирских поездов до 1 июля 2019 г. В соответствии с этими решениями по протоколу совещания ОАО</w:t>
            </w:r>
            <w:proofErr w:type="gramEnd"/>
            <w:r w:rsidRPr="00D753BB">
              <w:rPr>
                <w:sz w:val="23"/>
                <w:szCs w:val="23"/>
              </w:rPr>
              <w:t xml:space="preserve"> «РЖД» от 16.11.2018 № ОТ-74/</w:t>
            </w:r>
            <w:proofErr w:type="spellStart"/>
            <w:r w:rsidRPr="00D753BB">
              <w:rPr>
                <w:sz w:val="23"/>
                <w:szCs w:val="23"/>
              </w:rPr>
              <w:t>пр</w:t>
            </w:r>
            <w:proofErr w:type="spellEnd"/>
            <w:r w:rsidRPr="00D753BB">
              <w:rPr>
                <w:sz w:val="23"/>
                <w:szCs w:val="23"/>
              </w:rPr>
              <w:t xml:space="preserve"> договора с ФАУ «</w:t>
            </w:r>
            <w:proofErr w:type="spellStart"/>
            <w:r w:rsidRPr="00D753BB">
              <w:rPr>
                <w:sz w:val="23"/>
                <w:szCs w:val="23"/>
              </w:rPr>
              <w:t>Главгосэкспертиза</w:t>
            </w:r>
            <w:proofErr w:type="spellEnd"/>
            <w:r w:rsidRPr="00D753BB">
              <w:rPr>
                <w:sz w:val="23"/>
                <w:szCs w:val="23"/>
              </w:rPr>
              <w:t xml:space="preserve"> России» на государственную </w:t>
            </w:r>
            <w:r w:rsidRPr="00D753BB">
              <w:rPr>
                <w:sz w:val="23"/>
                <w:szCs w:val="23"/>
              </w:rPr>
              <w:lastRenderedPageBreak/>
              <w:t xml:space="preserve">экспертизу и проверку достоверности определения сметной стоимости объекта были </w:t>
            </w:r>
            <w:proofErr w:type="spellStart"/>
            <w:r w:rsidRPr="00D753BB">
              <w:rPr>
                <w:sz w:val="23"/>
                <w:szCs w:val="23"/>
              </w:rPr>
              <w:t>расторгнуты</w:t>
            </w:r>
            <w:proofErr w:type="gramStart"/>
            <w:r w:rsidRPr="00D753BB">
              <w:rPr>
                <w:sz w:val="23"/>
                <w:szCs w:val="23"/>
              </w:rPr>
              <w:t>.В</w:t>
            </w:r>
            <w:proofErr w:type="spellEnd"/>
            <w:proofErr w:type="gramEnd"/>
            <w:r w:rsidRPr="00D753BB">
              <w:rPr>
                <w:sz w:val="23"/>
                <w:szCs w:val="23"/>
              </w:rPr>
              <w:t xml:space="preserve"> связи с задержкой получения положительного заключения ФАУ «</w:t>
            </w:r>
            <w:proofErr w:type="spellStart"/>
            <w:r w:rsidRPr="00D753BB">
              <w:rPr>
                <w:sz w:val="23"/>
                <w:szCs w:val="23"/>
              </w:rPr>
              <w:t>Главгосэкспертиза</w:t>
            </w:r>
            <w:proofErr w:type="spellEnd"/>
            <w:r w:rsidRPr="00D753BB">
              <w:rPr>
                <w:sz w:val="23"/>
                <w:szCs w:val="23"/>
              </w:rPr>
              <w:t xml:space="preserve"> России» на откорректированную проектную документацию, письмом Минэкономразвития России от 07.12.2018               № 36204-АТ/Д17и согласовано изменение ранее запланированных сроков завершения проектных решений в рамках строительства объекта с одновременным </w:t>
            </w:r>
            <w:r w:rsidRPr="00D753BB">
              <w:rPr>
                <w:sz w:val="23"/>
                <w:szCs w:val="23"/>
              </w:rPr>
              <w:lastRenderedPageBreak/>
              <w:t xml:space="preserve">уменьшением бюджетных ассигнований в 2018 году в размере 664 691,9 тыс. рублей с последующим возвратом в 2019-2020 </w:t>
            </w:r>
            <w:proofErr w:type="spellStart"/>
            <w:r w:rsidRPr="00D753BB">
              <w:rPr>
                <w:sz w:val="23"/>
                <w:szCs w:val="23"/>
              </w:rPr>
              <w:t>гг</w:t>
            </w:r>
            <w:proofErr w:type="gramStart"/>
            <w:r w:rsidRPr="00D753BB">
              <w:rPr>
                <w:sz w:val="23"/>
                <w:szCs w:val="23"/>
              </w:rPr>
              <w:t>.К</w:t>
            </w:r>
            <w:proofErr w:type="gramEnd"/>
            <w:r w:rsidRPr="00D753BB">
              <w:rPr>
                <w:sz w:val="23"/>
                <w:szCs w:val="23"/>
              </w:rPr>
              <w:t>роме</w:t>
            </w:r>
            <w:proofErr w:type="spellEnd"/>
            <w:r w:rsidRPr="00D753BB">
              <w:rPr>
                <w:sz w:val="23"/>
                <w:szCs w:val="23"/>
              </w:rPr>
              <w:t xml:space="preserve"> того, в 2019 году будут завершены работы по технологическому присоединению к электрическим сетям Публичного акционерного общества энергетики и электрификации Кубани объектов инженерной инфраструктуры во исполнение распоряжения Правительства Российской Федерации от 23.12.2017 № 2924-р в </w:t>
            </w:r>
            <w:r w:rsidRPr="00D753BB">
              <w:rPr>
                <w:sz w:val="23"/>
                <w:szCs w:val="23"/>
              </w:rPr>
              <w:lastRenderedPageBreak/>
              <w:t xml:space="preserve">части строительства железнодорожных подходов к транспортному переходу через Керченский пролив в </w:t>
            </w:r>
            <w:proofErr w:type="gramStart"/>
            <w:r w:rsidRPr="00D753BB">
              <w:rPr>
                <w:sz w:val="23"/>
                <w:szCs w:val="23"/>
              </w:rPr>
              <w:t>рамках</w:t>
            </w:r>
            <w:proofErr w:type="gramEnd"/>
            <w:r w:rsidRPr="00D753BB">
              <w:rPr>
                <w:sz w:val="23"/>
                <w:szCs w:val="23"/>
              </w:rPr>
              <w:t xml:space="preserve"> реализации проекта «Создание сухогрузного района морского порта Тамань».</w:t>
            </w: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бюджеты субъектов РФ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1.3.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  <w:lang w:val="en-US"/>
              </w:rPr>
            </w:pPr>
            <w:r w:rsidRPr="00D753BB">
              <w:rPr>
                <w:b/>
                <w:sz w:val="23"/>
                <w:szCs w:val="23"/>
                <w:lang w:val="en-US"/>
              </w:rPr>
              <w:t>II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D753BB">
              <w:rPr>
                <w:rFonts w:eastAsia="Times New Roman"/>
                <w:sz w:val="23"/>
                <w:szCs w:val="23"/>
                <w:lang w:eastAsia="ru-RU"/>
              </w:rPr>
              <w:t>«Развитие транспортного узла «</w:t>
            </w:r>
            <w:proofErr w:type="gramStart"/>
            <w:r w:rsidRPr="00D753BB">
              <w:rPr>
                <w:rFonts w:eastAsia="Times New Roman"/>
                <w:sz w:val="23"/>
                <w:szCs w:val="23"/>
                <w:lang w:eastAsia="ru-RU"/>
              </w:rPr>
              <w:t>Восточный</w:t>
            </w:r>
            <w:proofErr w:type="gramEnd"/>
            <w:r w:rsidRPr="00D753BB">
              <w:rPr>
                <w:rFonts w:eastAsia="Times New Roman"/>
                <w:sz w:val="23"/>
                <w:szCs w:val="23"/>
                <w:lang w:eastAsia="ru-RU"/>
              </w:rPr>
              <w:t xml:space="preserve"> – Находка»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2 269 713,7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15 304,9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15 304,9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  <w:u w:val="single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1.1.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24 713,7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15 304,9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15 304,9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  <w:u w:val="single"/>
              </w:rPr>
            </w:pPr>
            <w:r w:rsidRPr="00D753BB">
              <w:rPr>
                <w:spacing w:val="-2"/>
                <w:sz w:val="23"/>
                <w:szCs w:val="23"/>
                <w:u w:val="single"/>
              </w:rPr>
              <w:t>Этап I - Объекты железнодорожного транспорта" (Россия, Приморский край, Находкинский городской округ в районе порта Восточный, Партизанский район)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Охрана объекта незавершенного строительства, по договорам с ФГП ВО ЖДТ до 100 тыс. руб. до момента заключения ГК на охрану всех объектов.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Охрана объекта незавершенного строительства по Гос. контракту.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Изъятие земель путем компенсации убытков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Разработка технической документации  на консервацию объекта незавершенного строительства.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Проведение работ по консервации объекта незавершенного строительства.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Заключение концессионного соглашения и передача Объекта Концессионеру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Ожидаемый результат в 2018 году – консервация Объекта незавершенного строительства.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  <w:u w:val="single"/>
              </w:rPr>
            </w:pPr>
            <w:r w:rsidRPr="00D753BB">
              <w:rPr>
                <w:sz w:val="23"/>
                <w:szCs w:val="23"/>
                <w:u w:val="single"/>
              </w:rPr>
              <w:t>Этап II. Объекты морского транспорта" (Россия, Приморский край, Находкинский городской округ в районе порта Восточный, Партизанский район)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Охрана объекта незавершенного строительства, по договорам с ФГП ВО ЖДТ до 100 тыс. руб. до момента заключения ГК на охрану всех объектов.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Охрана объекта незавершенного строительства по Гос. контракту.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Разработка технической документации  на консервацию объекта незавершенного строительства.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Проведение работ по консервации объекта незавершенного строительства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Заключение концессионного соглашения и передача Объекта Концессионеру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Ожидаемый результат в 2018 году – консервация Объекта незавершенного строительства.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pacing w:val="2"/>
                <w:sz w:val="23"/>
                <w:szCs w:val="23"/>
              </w:rPr>
            </w:pPr>
            <w:r w:rsidRPr="00D753BB">
              <w:rPr>
                <w:b/>
                <w:spacing w:val="2"/>
                <w:sz w:val="23"/>
                <w:szCs w:val="23"/>
              </w:rPr>
              <w:lastRenderedPageBreak/>
              <w:t xml:space="preserve">Этап I - Объекты железнодорожного транспорта» (Россия, Приморский край, Находкинский городской округ в районе порта Восточный, </w:t>
            </w:r>
            <w:r w:rsidRPr="00D753BB">
              <w:rPr>
                <w:b/>
                <w:spacing w:val="2"/>
                <w:sz w:val="23"/>
                <w:szCs w:val="23"/>
              </w:rPr>
              <w:lastRenderedPageBreak/>
              <w:t>Партизанский район)»</w:t>
            </w:r>
          </w:p>
          <w:p w:rsidR="00066D4C" w:rsidRPr="00D753BB" w:rsidRDefault="00066D4C" w:rsidP="001009A0">
            <w:pPr>
              <w:pStyle w:val="ac"/>
              <w:shd w:val="clear" w:color="auto" w:fill="FFFFFF"/>
              <w:spacing w:after="0"/>
              <w:ind w:left="-142" w:right="-108"/>
              <w:contextualSpacing/>
              <w:jc w:val="center"/>
              <w:rPr>
                <w:b/>
                <w:spacing w:val="2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Закончена корректировка проектной документации. По итогам проверки откорректированной документации получено положительное заключение ФАУ «</w:t>
            </w:r>
            <w:proofErr w:type="spellStart"/>
            <w:r w:rsidRPr="00D753BB">
              <w:rPr>
                <w:sz w:val="23"/>
                <w:szCs w:val="23"/>
              </w:rPr>
              <w:t>Главгосэкспертиза</w:t>
            </w:r>
            <w:proofErr w:type="spellEnd"/>
            <w:r w:rsidRPr="00D753BB">
              <w:rPr>
                <w:sz w:val="23"/>
                <w:szCs w:val="23"/>
              </w:rPr>
              <w:t xml:space="preserve"> России» на результаты инженерных изысканий от 03.11.2017 № 1180-17/ГГЭ-9057/04 и о достоверности определения сметной стоимости от 03.11.2017 № 1181-17/ГГЭ-9057/10.Проектно-сметная документация откорректированного проекта утверждена распоряжением </w:t>
            </w:r>
            <w:r w:rsidRPr="00D753BB">
              <w:rPr>
                <w:sz w:val="23"/>
                <w:szCs w:val="23"/>
              </w:rPr>
              <w:lastRenderedPageBreak/>
              <w:t>Учреждения от 27.06.2018 № ИГ-3-р</w:t>
            </w:r>
            <w:proofErr w:type="gramStart"/>
            <w:r w:rsidRPr="00D753BB">
              <w:rPr>
                <w:sz w:val="23"/>
                <w:szCs w:val="23"/>
              </w:rPr>
              <w:t>.В</w:t>
            </w:r>
            <w:proofErr w:type="gramEnd"/>
            <w:r w:rsidRPr="00D753BB">
              <w:rPr>
                <w:sz w:val="23"/>
                <w:szCs w:val="23"/>
              </w:rPr>
              <w:t xml:space="preserve"> 2017 г. строительно-монтажные работы производились подрядчиком крайне низкими темпами, что зафиксировано </w:t>
            </w:r>
            <w:proofErr w:type="spellStart"/>
            <w:r w:rsidRPr="00D753BB">
              <w:rPr>
                <w:sz w:val="23"/>
                <w:szCs w:val="23"/>
              </w:rPr>
              <w:t>стройконтролем</w:t>
            </w:r>
            <w:proofErr w:type="spellEnd"/>
            <w:r w:rsidRPr="00D753BB">
              <w:rPr>
                <w:sz w:val="23"/>
                <w:szCs w:val="23"/>
              </w:rPr>
              <w:t xml:space="preserve"> предписаниями и актами комплексной проверки ведения работ на объектах с фото- и </w:t>
            </w:r>
            <w:proofErr w:type="spellStart"/>
            <w:r w:rsidRPr="00D753BB">
              <w:rPr>
                <w:sz w:val="23"/>
                <w:szCs w:val="23"/>
              </w:rPr>
              <w:t>видеофиксацией</w:t>
            </w:r>
            <w:proofErr w:type="spellEnd"/>
            <w:r w:rsidRPr="00D753BB">
              <w:rPr>
                <w:sz w:val="23"/>
                <w:szCs w:val="23"/>
              </w:rPr>
              <w:t xml:space="preserve"> строительных </w:t>
            </w:r>
            <w:proofErr w:type="spellStart"/>
            <w:r w:rsidRPr="00D753BB">
              <w:rPr>
                <w:sz w:val="23"/>
                <w:szCs w:val="23"/>
              </w:rPr>
              <w:t>площадок</w:t>
            </w:r>
            <w:proofErr w:type="gramStart"/>
            <w:r w:rsidRPr="00D753BB">
              <w:rPr>
                <w:sz w:val="23"/>
                <w:szCs w:val="23"/>
              </w:rPr>
              <w:t>.В</w:t>
            </w:r>
            <w:proofErr w:type="spellEnd"/>
            <w:proofErr w:type="gramEnd"/>
            <w:r w:rsidRPr="00D753BB">
              <w:rPr>
                <w:sz w:val="23"/>
                <w:szCs w:val="23"/>
              </w:rPr>
              <w:t xml:space="preserve"> связи с чем, государственным заказчиком в лице Учреждения было принято решение об одностороннем отказе от исполнения своих </w:t>
            </w:r>
            <w:r w:rsidRPr="00D753BB">
              <w:rPr>
                <w:sz w:val="23"/>
                <w:szCs w:val="23"/>
              </w:rPr>
              <w:lastRenderedPageBreak/>
              <w:t xml:space="preserve">обязательств по государственному контракту от 26.11.2014 № РТМ-86/14 в соответствии с действующим законодательством с одновременным требованием о возврате непогашенной части аванса в размере 2 926 812,6 тыс. рублей, а также об уплате неустойки за ненадлежащее исполнение своих обязательств по указанному государственному контракту на разработку рабочей документации и строительство объекта. Соответствующее </w:t>
            </w:r>
            <w:r w:rsidRPr="00D753BB">
              <w:rPr>
                <w:sz w:val="23"/>
                <w:szCs w:val="23"/>
              </w:rPr>
              <w:lastRenderedPageBreak/>
              <w:t xml:space="preserve">решение направлено в адрес подрядчику письмом от 10.11.2017 № ИГ-02/2474. Учреждение обратилось в Арбитражный суд г. Москвы с исковым заявлением от 21.12.2017 по делу № А40-248048/17-14-1955 об истребовании указанной </w:t>
            </w:r>
            <w:proofErr w:type="spellStart"/>
            <w:r w:rsidRPr="00D753BB">
              <w:rPr>
                <w:sz w:val="23"/>
                <w:szCs w:val="23"/>
              </w:rPr>
              <w:t>задолженности</w:t>
            </w:r>
            <w:proofErr w:type="gramStart"/>
            <w:r w:rsidRPr="00D753BB">
              <w:rPr>
                <w:sz w:val="23"/>
                <w:szCs w:val="23"/>
              </w:rPr>
              <w:t>.К</w:t>
            </w:r>
            <w:proofErr w:type="gramEnd"/>
            <w:r w:rsidRPr="00D753BB">
              <w:rPr>
                <w:sz w:val="23"/>
                <w:szCs w:val="23"/>
              </w:rPr>
              <w:t>роме</w:t>
            </w:r>
            <w:proofErr w:type="spellEnd"/>
            <w:r w:rsidRPr="00D753BB">
              <w:rPr>
                <w:sz w:val="23"/>
                <w:szCs w:val="23"/>
              </w:rPr>
              <w:t xml:space="preserve"> того, письмом от 27.12.2017 № ИГ-10/2985 в адрес ЗАО «ПСК Групп» было направлено решение государственного заказчика об одностороннем отказе от исполнения своих обязательств по </w:t>
            </w:r>
            <w:r w:rsidRPr="00D753BB">
              <w:rPr>
                <w:sz w:val="23"/>
                <w:szCs w:val="23"/>
              </w:rPr>
              <w:lastRenderedPageBreak/>
              <w:t xml:space="preserve">государственному контракту от 07.07.2015 № РТМ-61/15 на осуществление строительного контроля. По соглашению сторон от 22.12.2017 государственный контракт от 04.12.2015 № РТМ-153/15 на оказание услуг по осуществлению авторского надзора с ООО «ГСС» </w:t>
            </w:r>
            <w:proofErr w:type="spellStart"/>
            <w:r w:rsidRPr="00D753BB">
              <w:rPr>
                <w:sz w:val="23"/>
                <w:szCs w:val="23"/>
              </w:rPr>
              <w:t>расторгнут</w:t>
            </w:r>
            <w:proofErr w:type="gramStart"/>
            <w:r w:rsidRPr="00D753BB">
              <w:rPr>
                <w:sz w:val="23"/>
                <w:szCs w:val="23"/>
              </w:rPr>
              <w:t>.Р</w:t>
            </w:r>
            <w:proofErr w:type="gramEnd"/>
            <w:r w:rsidRPr="00D753BB">
              <w:rPr>
                <w:sz w:val="23"/>
                <w:szCs w:val="23"/>
              </w:rPr>
              <w:t>ешение</w:t>
            </w:r>
            <w:proofErr w:type="spellEnd"/>
            <w:r w:rsidRPr="00D753BB">
              <w:rPr>
                <w:sz w:val="23"/>
                <w:szCs w:val="23"/>
              </w:rPr>
              <w:t xml:space="preserve"> Арбитражного суда г. Москвы по делу № А40-221187-17-51-2007 о признании законным одностороннего отказа от исполнения государственного контракта от 26.11.2014 </w:t>
            </w:r>
            <w:r w:rsidRPr="00D753BB">
              <w:rPr>
                <w:sz w:val="23"/>
                <w:szCs w:val="23"/>
              </w:rPr>
              <w:lastRenderedPageBreak/>
              <w:t xml:space="preserve">№ РТМ-86/14, а также пункта 24.2.3. </w:t>
            </w:r>
            <w:proofErr w:type="spellStart"/>
            <w:r w:rsidRPr="00D753BB">
              <w:rPr>
                <w:sz w:val="23"/>
                <w:szCs w:val="23"/>
              </w:rPr>
              <w:t>госконтракта</w:t>
            </w:r>
            <w:proofErr w:type="spellEnd"/>
            <w:r w:rsidRPr="00D753BB">
              <w:rPr>
                <w:sz w:val="23"/>
                <w:szCs w:val="23"/>
              </w:rPr>
              <w:t xml:space="preserve">, касающегося возможности его расторжения в случае неисполнения или ненадлежащего исполнения подрядчиком своих обязательств, опубликованное на сайте 17.07.2018, вступило в законную </w:t>
            </w:r>
            <w:proofErr w:type="spellStart"/>
            <w:r w:rsidRPr="00D753BB">
              <w:rPr>
                <w:sz w:val="23"/>
                <w:szCs w:val="23"/>
              </w:rPr>
              <w:t>силу</w:t>
            </w:r>
            <w:proofErr w:type="gramStart"/>
            <w:r w:rsidRPr="00D753BB">
              <w:rPr>
                <w:sz w:val="23"/>
                <w:szCs w:val="23"/>
              </w:rPr>
              <w:t>.П</w:t>
            </w:r>
            <w:proofErr w:type="gramEnd"/>
            <w:r w:rsidRPr="00D753BB">
              <w:rPr>
                <w:sz w:val="23"/>
                <w:szCs w:val="23"/>
              </w:rPr>
              <w:t>о</w:t>
            </w:r>
            <w:proofErr w:type="spellEnd"/>
            <w:r w:rsidRPr="00D753BB">
              <w:rPr>
                <w:sz w:val="23"/>
                <w:szCs w:val="23"/>
              </w:rPr>
              <w:t xml:space="preserve"> исковому заявлению Учреждения Арбитражным судом г. Москвы принято решение от 03.07.2018 по делу № А40-248048/17 о взыскании с ООО «</w:t>
            </w:r>
            <w:proofErr w:type="spellStart"/>
            <w:r w:rsidRPr="00D753BB">
              <w:rPr>
                <w:sz w:val="23"/>
                <w:szCs w:val="23"/>
              </w:rPr>
              <w:t>Стройновация</w:t>
            </w:r>
            <w:proofErr w:type="spellEnd"/>
            <w:r w:rsidRPr="00D753BB">
              <w:rPr>
                <w:sz w:val="23"/>
                <w:szCs w:val="23"/>
              </w:rPr>
              <w:t xml:space="preserve">» 2 926 812,6 тыс. рублей </w:t>
            </w:r>
            <w:r w:rsidRPr="00D753BB">
              <w:rPr>
                <w:sz w:val="23"/>
                <w:szCs w:val="23"/>
              </w:rPr>
              <w:lastRenderedPageBreak/>
              <w:t xml:space="preserve">неосновательного обогащения и 10 000,0 тыс. рублей неустойки, на которое подрядчик подал апелляционную жалобу. Постановлением Девятого арбитражного апелляционного суда от 04.09.2018 № 09АП-42374/2018 решение Арбитражного суда г. Москвы от 03.07.2018 по делу № А40-248048/17 осталось без изменения, апелляционная жалоба – без </w:t>
            </w:r>
            <w:proofErr w:type="spellStart"/>
            <w:r w:rsidRPr="00D753BB">
              <w:rPr>
                <w:sz w:val="23"/>
                <w:szCs w:val="23"/>
              </w:rPr>
              <w:t>удовлетворения</w:t>
            </w:r>
            <w:proofErr w:type="gramStart"/>
            <w:r w:rsidRPr="00D753BB">
              <w:rPr>
                <w:sz w:val="23"/>
                <w:szCs w:val="23"/>
              </w:rPr>
              <w:t>.Т</w:t>
            </w:r>
            <w:proofErr w:type="gramEnd"/>
            <w:r w:rsidRPr="00D753BB">
              <w:rPr>
                <w:sz w:val="23"/>
                <w:szCs w:val="23"/>
              </w:rPr>
              <w:t>аким</w:t>
            </w:r>
            <w:proofErr w:type="spellEnd"/>
            <w:r w:rsidRPr="00D753BB">
              <w:rPr>
                <w:sz w:val="23"/>
                <w:szCs w:val="23"/>
              </w:rPr>
              <w:t xml:space="preserve"> образом, кассовые выплаты в отчетном периоде осуществлялись для оплаты работ в рамках договоров на </w:t>
            </w:r>
            <w:r w:rsidRPr="00D753BB">
              <w:rPr>
                <w:sz w:val="23"/>
                <w:szCs w:val="23"/>
              </w:rPr>
              <w:lastRenderedPageBreak/>
              <w:t xml:space="preserve">оказание услуг по охране имущества строящегося объекта в объеме 13 870,8 тыс. рублей, а также по соглашениям об изъятии недвижимости для государственных нужд в объеме 1 434,1 тыс. </w:t>
            </w:r>
            <w:proofErr w:type="spellStart"/>
            <w:r w:rsidRPr="00D753BB">
              <w:rPr>
                <w:sz w:val="23"/>
                <w:szCs w:val="23"/>
              </w:rPr>
              <w:t>рублей</w:t>
            </w:r>
            <w:proofErr w:type="gramStart"/>
            <w:r w:rsidRPr="00D753BB">
              <w:rPr>
                <w:sz w:val="23"/>
                <w:szCs w:val="23"/>
              </w:rPr>
              <w:t>.В</w:t>
            </w:r>
            <w:proofErr w:type="spellEnd"/>
            <w:proofErr w:type="gramEnd"/>
            <w:r w:rsidRPr="00D753BB">
              <w:rPr>
                <w:sz w:val="23"/>
                <w:szCs w:val="23"/>
              </w:rPr>
              <w:t xml:space="preserve"> целях исключения риска утраты или разрушения конструктивных элементов или деталей объекта незавершенного строительства федеральной собственности на основании решения государственного заказчика в лице Учреждения было проведено комплексное </w:t>
            </w:r>
            <w:r w:rsidRPr="00D753BB">
              <w:rPr>
                <w:sz w:val="23"/>
                <w:szCs w:val="23"/>
              </w:rPr>
              <w:lastRenderedPageBreak/>
              <w:t xml:space="preserve">обследование на объекте строительства с инвентаризацией выполненных работ и фиксацией фактического состояния объекта. В рамках утвержденной проектно-сметной документации подготовлен предварительный план первоочередных мероприятий, выполнение которых должно обеспечить прочность, устойчивость и сохранность конструкций, оборудования и материалов, а также безопасность объекта и строительной площадки </w:t>
            </w:r>
            <w:r w:rsidRPr="00D753BB">
              <w:rPr>
                <w:sz w:val="23"/>
                <w:szCs w:val="23"/>
              </w:rPr>
              <w:lastRenderedPageBreak/>
              <w:t xml:space="preserve">во избежание потери результатов ранее выполненных и оплаченных Учреждением работ и конструкций технических </w:t>
            </w:r>
            <w:proofErr w:type="spellStart"/>
            <w:r w:rsidRPr="00D753BB">
              <w:rPr>
                <w:sz w:val="23"/>
                <w:szCs w:val="23"/>
              </w:rPr>
              <w:t>сооружений</w:t>
            </w:r>
            <w:proofErr w:type="gramStart"/>
            <w:r w:rsidRPr="00D753BB">
              <w:rPr>
                <w:sz w:val="23"/>
                <w:szCs w:val="23"/>
              </w:rPr>
              <w:t>.С</w:t>
            </w:r>
            <w:proofErr w:type="spellEnd"/>
            <w:proofErr w:type="gramEnd"/>
            <w:r w:rsidRPr="00D753BB">
              <w:rPr>
                <w:sz w:val="23"/>
                <w:szCs w:val="23"/>
              </w:rPr>
              <w:t xml:space="preserve"> учетом неисполнения подрядчиком своих контрактных обязательств, в настоящий момент степень строительной готовности объектов Учреждения значительно отстает </w:t>
            </w:r>
            <w:proofErr w:type="gramStart"/>
            <w:r w:rsidRPr="00D753BB">
              <w:rPr>
                <w:sz w:val="23"/>
                <w:szCs w:val="23"/>
              </w:rPr>
              <w:t xml:space="preserve">от объектов, построенных за счет средств АО «Восточный Порт» и ООО «Восточная стивидорная компания» (ООО «ВСК»), что несет риск для реализации </w:t>
            </w:r>
            <w:r w:rsidRPr="00D753BB">
              <w:rPr>
                <w:sz w:val="23"/>
                <w:szCs w:val="23"/>
              </w:rPr>
              <w:lastRenderedPageBreak/>
              <w:t>частных проектов в целом, поскольку с учетом комплексного характера инвестиционного проекта, разработанной проектной документацией и государственным контрактом от 26.11.2014 № РТМ-86/14 была также предусмотрена увязка (как технологическая, так и по срокам) в местах сопряжении строительства объектов федеральной собственности с</w:t>
            </w:r>
            <w:proofErr w:type="gramEnd"/>
            <w:r w:rsidRPr="00D753BB">
              <w:rPr>
                <w:sz w:val="23"/>
                <w:szCs w:val="23"/>
              </w:rPr>
              <w:t xml:space="preserve"> перевалочными мощностями ООО «ВСК» в части строительства автомобильного подъезда </w:t>
            </w:r>
            <w:r w:rsidRPr="00D753BB">
              <w:rPr>
                <w:sz w:val="23"/>
                <w:szCs w:val="23"/>
              </w:rPr>
              <w:lastRenderedPageBreak/>
              <w:t>с автодорожным путепроводом к контейнерному терминалу ООО «</w:t>
            </w:r>
            <w:proofErr w:type="spellStart"/>
            <w:r w:rsidRPr="00D753BB">
              <w:rPr>
                <w:sz w:val="23"/>
                <w:szCs w:val="23"/>
              </w:rPr>
              <w:t>ВСК»</w:t>
            </w:r>
            <w:proofErr w:type="gramStart"/>
            <w:r w:rsidRPr="00D753BB">
              <w:rPr>
                <w:sz w:val="23"/>
                <w:szCs w:val="23"/>
              </w:rPr>
              <w:t>.К</w:t>
            </w:r>
            <w:proofErr w:type="gramEnd"/>
            <w:r w:rsidRPr="00D753BB">
              <w:rPr>
                <w:sz w:val="23"/>
                <w:szCs w:val="23"/>
              </w:rPr>
              <w:t>роме</w:t>
            </w:r>
            <w:proofErr w:type="spellEnd"/>
            <w:r w:rsidRPr="00D753BB">
              <w:rPr>
                <w:sz w:val="23"/>
                <w:szCs w:val="23"/>
              </w:rPr>
              <w:t xml:space="preserve"> того, по итогам ряда совещаний, проведенных Учреждением совместно с представителями АО «Восточный Порт», была достигнута согласованная позиция о целесообразности в рамках утвержденной проектно-сметной документации выделения из состава инвестиционного проекта набора работ, направленных на строительство объектов федеральной </w:t>
            </w:r>
            <w:r w:rsidRPr="00D753BB">
              <w:rPr>
                <w:sz w:val="23"/>
                <w:szCs w:val="23"/>
              </w:rPr>
              <w:lastRenderedPageBreak/>
              <w:t xml:space="preserve">собственности на участке сопряжения с инвестиционным проектом «Третья очередь специализированного угольного комплекса в порту </w:t>
            </w:r>
            <w:proofErr w:type="spellStart"/>
            <w:r w:rsidRPr="00D753BB">
              <w:rPr>
                <w:sz w:val="23"/>
                <w:szCs w:val="23"/>
              </w:rPr>
              <w:t>Восточный»</w:t>
            </w:r>
            <w:proofErr w:type="gramStart"/>
            <w:r w:rsidRPr="00D753BB">
              <w:rPr>
                <w:sz w:val="23"/>
                <w:szCs w:val="23"/>
              </w:rPr>
              <w:t>.П</w:t>
            </w:r>
            <w:proofErr w:type="gramEnd"/>
            <w:r w:rsidRPr="00D753BB">
              <w:rPr>
                <w:sz w:val="23"/>
                <w:szCs w:val="23"/>
              </w:rPr>
              <w:t>исьмом</w:t>
            </w:r>
            <w:proofErr w:type="spellEnd"/>
            <w:r w:rsidRPr="00D753BB">
              <w:rPr>
                <w:sz w:val="23"/>
                <w:szCs w:val="23"/>
              </w:rPr>
              <w:t xml:space="preserve"> Минэкономразвития России от 11.09.2018 № 25863-АТ/Д17и утверждены изменения в ФАИП, обеспечившие необходимый объем бюджетных ассигнований в 2018-2019 годах для организации и проведения в текущем финансовом году конкурсных процедур с целью заключения </w:t>
            </w:r>
            <w:r w:rsidRPr="00D753BB">
              <w:rPr>
                <w:sz w:val="23"/>
                <w:szCs w:val="23"/>
              </w:rPr>
              <w:lastRenderedPageBreak/>
              <w:t xml:space="preserve">соответствующего государственного контракта на строительно-монтажные работы и разработку рабочей документации, а также выполнения первоочередных мероприятий по обеспечению прочности, устойчивости </w:t>
            </w:r>
            <w:proofErr w:type="gramStart"/>
            <w:r w:rsidRPr="00D753BB">
              <w:rPr>
                <w:sz w:val="23"/>
                <w:szCs w:val="23"/>
              </w:rPr>
              <w:t xml:space="preserve">и сохранности конструкций, оборудования, материалов и безопасности объектов инвестиционного проекта, в целях исключения риска утраты или разрушения конструктивных элементов или деталей </w:t>
            </w:r>
            <w:r w:rsidRPr="00D753BB">
              <w:rPr>
                <w:sz w:val="23"/>
                <w:szCs w:val="23"/>
              </w:rPr>
              <w:lastRenderedPageBreak/>
              <w:t>объектов незавершенного строительства федеральной собственности, выполнения работ, предусмотренных утвержденной проектно-сметной документацией в рамках строительства объектов федеральной собственности на участке сопряжения с инвестиционными проектами частных инвесторов для обеспечения эксплуатации и развития портовых мощностей компаний-операторов порта, владеющих причалами в порту Восточный</w:t>
            </w:r>
            <w:proofErr w:type="gramEnd"/>
            <w:r w:rsidRPr="00D753BB">
              <w:rPr>
                <w:sz w:val="23"/>
                <w:szCs w:val="23"/>
              </w:rPr>
              <w:t xml:space="preserve"> и </w:t>
            </w:r>
            <w:r w:rsidRPr="00D753BB">
              <w:rPr>
                <w:sz w:val="23"/>
                <w:szCs w:val="23"/>
              </w:rPr>
              <w:lastRenderedPageBreak/>
              <w:t xml:space="preserve">осуществляющих погрузочно-разгрузочные работы на этих причалах (АО «Восточный порт» - угольный терминал ППК-3, ООО «Восточная стивидорная компания» - контейнерный терминал), в том числе:– завершение работ по строительству участка сопряжения с инвестиционным проектом АО «Восточный порт» «Третья очередь специализированного угольного комплекса в порту Восточный»;– строительство автомобильного подъезда с автодорожным путепроводом к </w:t>
            </w:r>
            <w:r w:rsidRPr="00D753BB">
              <w:rPr>
                <w:sz w:val="23"/>
                <w:szCs w:val="23"/>
              </w:rPr>
              <w:lastRenderedPageBreak/>
              <w:t>контейнерному терминал</w:t>
            </w:r>
            <w:proofErr w:type="gramStart"/>
            <w:r w:rsidRPr="00D753BB">
              <w:rPr>
                <w:sz w:val="23"/>
                <w:szCs w:val="23"/>
              </w:rPr>
              <w:t>у ООО</w:t>
            </w:r>
            <w:proofErr w:type="gramEnd"/>
            <w:r w:rsidRPr="00D753BB">
              <w:rPr>
                <w:sz w:val="23"/>
                <w:szCs w:val="23"/>
              </w:rPr>
              <w:t xml:space="preserve"> «Восточная стивидорная компания».23 октября 2018 г. объявлен конкурс с ограниченным участием на выполнение строительных работ с разработкой рабочей документации «Развитие транспортного узла «Восточный - Находка» (Приморский край)» Объекты федеральной собственности. «Этап I – Объекты железнодорожного транспорта» и «Этап II. Объекты морского транспорта» (Россия, Приморский край, Находкинский городской </w:t>
            </w:r>
            <w:r w:rsidRPr="00D753BB">
              <w:rPr>
                <w:sz w:val="23"/>
                <w:szCs w:val="23"/>
              </w:rPr>
              <w:lastRenderedPageBreak/>
              <w:t>округ в районе порта Восточный, Партизанский район)</w:t>
            </w:r>
            <w:proofErr w:type="gramStart"/>
            <w:r w:rsidRPr="00D753BB">
              <w:rPr>
                <w:sz w:val="23"/>
                <w:szCs w:val="23"/>
              </w:rPr>
              <w:t>.П</w:t>
            </w:r>
            <w:proofErr w:type="gramEnd"/>
            <w:r w:rsidRPr="00D753BB">
              <w:rPr>
                <w:sz w:val="23"/>
                <w:szCs w:val="23"/>
              </w:rPr>
              <w:t xml:space="preserve">олучено решение комиссии ФАС  России по г. Москве от 21.12.2018 № 63637/18 о согласовании осуществления закупки у ООО «ЛИДЕРСТРОЙ» как у единственного поставщика на право заключения государственного контракта на выполнение строительных работ с разработкой рабочей документации объекта. С подрядчиком заключен государственный контракт от 27.12.2018 № РТМ-424/18.29 октября </w:t>
            </w:r>
            <w:r w:rsidRPr="00D753BB">
              <w:rPr>
                <w:sz w:val="23"/>
                <w:szCs w:val="23"/>
              </w:rPr>
              <w:lastRenderedPageBreak/>
              <w:t xml:space="preserve">2018 г. объявлен конкурс на оказание услуг по строительному </w:t>
            </w:r>
            <w:proofErr w:type="gramStart"/>
            <w:r w:rsidRPr="00D753BB">
              <w:rPr>
                <w:sz w:val="23"/>
                <w:szCs w:val="23"/>
              </w:rPr>
              <w:t>контролю за</w:t>
            </w:r>
            <w:proofErr w:type="gramEnd"/>
            <w:r w:rsidRPr="00D753BB">
              <w:rPr>
                <w:sz w:val="23"/>
                <w:szCs w:val="23"/>
              </w:rPr>
              <w:t xml:space="preserve"> разработкой рабочей документации и строительством объекта «Развитие транспортного узла «Восточный - Находка» (Приморский край)» Объекты федеральной собственности. «Этап I – Объекты железнодорожного транспорта» и «Этап II. Объекты морского транспорта» (Россия, Приморский край, Находкинский городской округ в районе порта Восточный, Партизанский район), по </w:t>
            </w:r>
            <w:r w:rsidRPr="00D753BB">
              <w:rPr>
                <w:sz w:val="23"/>
                <w:szCs w:val="23"/>
              </w:rPr>
              <w:lastRenderedPageBreak/>
              <w:t xml:space="preserve">итогам которого заключен государственный контракт с АО «Инжиниринговая компания «РГП» от 18.12.2018 № РТМ-417/18.01 ноября 2018 г. объявлен конкурс на оказание услуг авторского надзора за разработкой рабочей документации и строительством </w:t>
            </w:r>
            <w:proofErr w:type="spellStart"/>
            <w:r w:rsidRPr="00D753BB">
              <w:rPr>
                <w:sz w:val="23"/>
                <w:szCs w:val="23"/>
              </w:rPr>
              <w:t>объекта</w:t>
            </w:r>
            <w:proofErr w:type="gramStart"/>
            <w:r w:rsidRPr="00D753BB">
              <w:rPr>
                <w:sz w:val="23"/>
                <w:szCs w:val="23"/>
              </w:rPr>
              <w:t>.Н</w:t>
            </w:r>
            <w:proofErr w:type="gramEnd"/>
            <w:r w:rsidRPr="00D753BB">
              <w:rPr>
                <w:sz w:val="23"/>
                <w:szCs w:val="23"/>
              </w:rPr>
              <w:t>а</w:t>
            </w:r>
            <w:proofErr w:type="spellEnd"/>
            <w:r w:rsidRPr="00D753BB">
              <w:rPr>
                <w:sz w:val="23"/>
                <w:szCs w:val="23"/>
              </w:rPr>
              <w:t xml:space="preserve"> основании направленного Учреждением обращения письмом от 11.12.2018 № ИГ-10/2470 комиссией ФАС  России по г. Москве 14.01.2019 принято решение о </w:t>
            </w:r>
            <w:r w:rsidRPr="00D753BB">
              <w:rPr>
                <w:sz w:val="23"/>
                <w:szCs w:val="23"/>
              </w:rPr>
              <w:lastRenderedPageBreak/>
              <w:t>согласовании осуществления закупки у ООО «Научно-исследовательский и проектно-изыскательский институт «</w:t>
            </w:r>
            <w:proofErr w:type="spellStart"/>
            <w:r w:rsidRPr="00D753BB">
              <w:rPr>
                <w:sz w:val="23"/>
                <w:szCs w:val="23"/>
              </w:rPr>
              <w:t>Севзапинжтехнология</w:t>
            </w:r>
            <w:proofErr w:type="spellEnd"/>
            <w:r w:rsidRPr="00D753BB">
              <w:rPr>
                <w:sz w:val="23"/>
                <w:szCs w:val="23"/>
              </w:rPr>
              <w:t xml:space="preserve">» как у единственного поставщика на право заключения государственного контракта на оказание услуг авторского надзора за разработкой рабочей документации и строительством </w:t>
            </w:r>
            <w:proofErr w:type="spellStart"/>
            <w:r w:rsidRPr="00D753BB">
              <w:rPr>
                <w:sz w:val="23"/>
                <w:szCs w:val="23"/>
              </w:rPr>
              <w:t>объекта</w:t>
            </w:r>
            <w:proofErr w:type="gramStart"/>
            <w:r w:rsidRPr="00D753BB">
              <w:rPr>
                <w:sz w:val="23"/>
                <w:szCs w:val="23"/>
              </w:rPr>
              <w:t>.Г</w:t>
            </w:r>
            <w:proofErr w:type="gramEnd"/>
            <w:r w:rsidRPr="00D753BB">
              <w:rPr>
                <w:sz w:val="23"/>
                <w:szCs w:val="23"/>
              </w:rPr>
              <w:t>осударственный</w:t>
            </w:r>
            <w:proofErr w:type="spellEnd"/>
            <w:r w:rsidRPr="00D753BB">
              <w:rPr>
                <w:sz w:val="23"/>
                <w:szCs w:val="23"/>
              </w:rPr>
              <w:t xml:space="preserve"> контракт с подрядчиком будет заключен в начале 2019 </w:t>
            </w:r>
            <w:proofErr w:type="spellStart"/>
            <w:r w:rsidRPr="00D753BB">
              <w:rPr>
                <w:sz w:val="23"/>
                <w:szCs w:val="23"/>
              </w:rPr>
              <w:t>г.Дальнейшая</w:t>
            </w:r>
            <w:proofErr w:type="spellEnd"/>
            <w:r w:rsidRPr="00D753BB">
              <w:rPr>
                <w:sz w:val="23"/>
                <w:szCs w:val="23"/>
              </w:rPr>
              <w:t xml:space="preserve"> реализация проекта предполагается с </w:t>
            </w:r>
            <w:r w:rsidRPr="00D753BB">
              <w:rPr>
                <w:sz w:val="23"/>
                <w:szCs w:val="23"/>
              </w:rPr>
              <w:lastRenderedPageBreak/>
              <w:t xml:space="preserve">использованием концессионной схемы и средств частных инвесторов. 07 марта 2018 г. АО «Открытый порт Находка» направило предложение о заключении концессионного соглашения по проекту в Правительство Российской Федерации в инициативном порядке, предусмотренном ч. 4.1 – 4.12 ст. 37 Федерального закона «О концессионных </w:t>
            </w:r>
            <w:proofErr w:type="spellStart"/>
            <w:r w:rsidRPr="00D753BB">
              <w:rPr>
                <w:sz w:val="23"/>
                <w:szCs w:val="23"/>
              </w:rPr>
              <w:t>соглашениях»</w:t>
            </w:r>
            <w:proofErr w:type="gramStart"/>
            <w:r w:rsidRPr="00D753BB">
              <w:rPr>
                <w:sz w:val="23"/>
                <w:szCs w:val="23"/>
              </w:rPr>
              <w:t>.</w:t>
            </w:r>
            <w:r w:rsidRPr="00D753BB">
              <w:rPr>
                <w:b/>
                <w:spacing w:val="2"/>
                <w:sz w:val="23"/>
                <w:szCs w:val="23"/>
              </w:rPr>
              <w:t>Э</w:t>
            </w:r>
            <w:proofErr w:type="gramEnd"/>
            <w:r w:rsidRPr="00D753BB">
              <w:rPr>
                <w:b/>
                <w:spacing w:val="2"/>
                <w:sz w:val="23"/>
                <w:szCs w:val="23"/>
              </w:rPr>
              <w:t>тап</w:t>
            </w:r>
            <w:proofErr w:type="spellEnd"/>
            <w:r w:rsidRPr="00D753BB">
              <w:rPr>
                <w:b/>
                <w:spacing w:val="2"/>
                <w:sz w:val="23"/>
                <w:szCs w:val="23"/>
              </w:rPr>
              <w:t xml:space="preserve"> II. Объекты морского транспорта» (Россия, Приморский край, Находкинский городской округ в </w:t>
            </w:r>
            <w:r w:rsidRPr="00D753BB">
              <w:rPr>
                <w:b/>
                <w:spacing w:val="2"/>
                <w:sz w:val="23"/>
                <w:szCs w:val="23"/>
              </w:rPr>
              <w:lastRenderedPageBreak/>
              <w:t>районе порта Восточный, Партизанский район)»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>В настоящее время закончена корректировка проектной документации. По итогам проверки откорректированной документации получено положительное заключение ФАУ «</w:t>
            </w:r>
            <w:proofErr w:type="spellStart"/>
            <w:r w:rsidRPr="00D753BB">
              <w:rPr>
                <w:spacing w:val="-2"/>
                <w:sz w:val="23"/>
                <w:szCs w:val="23"/>
              </w:rPr>
              <w:t>Главгосэкспертиза</w:t>
            </w:r>
            <w:proofErr w:type="spellEnd"/>
            <w:r w:rsidRPr="00D753BB">
              <w:rPr>
                <w:spacing w:val="-2"/>
                <w:sz w:val="23"/>
                <w:szCs w:val="23"/>
              </w:rPr>
              <w:t xml:space="preserve"> России» на результаты инженерных изысканий от 15.06.2017 № 646–17/ГГЭ-9057/04 и о достоверности определения сметной стоимости от 01.08.2018 № 00316-18/ГГЭ-09057/07-01.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 xml:space="preserve">Проектно-сметная документация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откорректированного проекта утверждена распоряжением Учреждения от 11.09.2018 № ИГ-5-р.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 xml:space="preserve">В 2017 г. строительно-монтажные работы производились подрядчиком крайне низкими темпами, что зафиксировано </w:t>
            </w:r>
            <w:proofErr w:type="spellStart"/>
            <w:r w:rsidRPr="00D753BB">
              <w:rPr>
                <w:spacing w:val="-2"/>
                <w:sz w:val="23"/>
                <w:szCs w:val="23"/>
              </w:rPr>
              <w:t>стройконтролем</w:t>
            </w:r>
            <w:proofErr w:type="spellEnd"/>
            <w:r w:rsidRPr="00D753BB">
              <w:rPr>
                <w:spacing w:val="-2"/>
                <w:sz w:val="23"/>
                <w:szCs w:val="23"/>
              </w:rPr>
              <w:t xml:space="preserve"> предписаниями и актами комплексной проверки ведения работ на объектах с фот</w:t>
            </w:r>
            <w:proofErr w:type="gramStart"/>
            <w:r w:rsidRPr="00D753BB">
              <w:rPr>
                <w:spacing w:val="-2"/>
                <w:sz w:val="23"/>
                <w:szCs w:val="23"/>
              </w:rPr>
              <w:t>о-</w:t>
            </w:r>
            <w:proofErr w:type="gramEnd"/>
            <w:r w:rsidRPr="00D753BB">
              <w:rPr>
                <w:spacing w:val="-2"/>
                <w:sz w:val="23"/>
                <w:szCs w:val="23"/>
              </w:rPr>
              <w:t xml:space="preserve"> и </w:t>
            </w:r>
            <w:proofErr w:type="spellStart"/>
            <w:r w:rsidRPr="00D753BB">
              <w:rPr>
                <w:spacing w:val="-2"/>
                <w:sz w:val="23"/>
                <w:szCs w:val="23"/>
              </w:rPr>
              <w:t>видеофиксацией</w:t>
            </w:r>
            <w:proofErr w:type="spellEnd"/>
            <w:r w:rsidRPr="00D753BB">
              <w:rPr>
                <w:spacing w:val="-2"/>
                <w:sz w:val="23"/>
                <w:szCs w:val="23"/>
              </w:rPr>
              <w:t xml:space="preserve"> строительных площадок.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proofErr w:type="gramStart"/>
            <w:r w:rsidRPr="00D753BB">
              <w:rPr>
                <w:spacing w:val="-2"/>
                <w:sz w:val="23"/>
                <w:szCs w:val="23"/>
              </w:rPr>
              <w:t xml:space="preserve">В связи с чем, государственным заказчиком в лице Учреждения было принято решение об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одностороннем отказе от исполнения своих обязательств по государственному контракту от 30.12.2014 № РТМ-99/14 в соответствии с действующим законодательством с одновременным требованием об оплате неустойки за ненадлежащее исполнение своих обязательств по указанному государственному контракту на разработку рабочей документации и строительство объекта.</w:t>
            </w:r>
            <w:proofErr w:type="gramEnd"/>
            <w:r w:rsidRPr="00D753BB">
              <w:rPr>
                <w:spacing w:val="-2"/>
                <w:sz w:val="23"/>
                <w:szCs w:val="23"/>
              </w:rPr>
              <w:t xml:space="preserve"> Соответствующее решение направлено в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адрес подрядчику письмом от 10.11.2017 № ИГ-02/2476.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 xml:space="preserve">Кроме того, письмом от 27.12.2017 № ИГ-10/2986 в адрес ЗАО «ПСК Групп» было направлено решение государственного заказчика об одностороннем отказе от исполнения своих обязательств по государственному контракту от 14.07.2015 № РТМ-63/15 на осуществление строительного контроля. По соглашению сторон от 22.12.2017 государственный контракт от 04.12.2015 №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РТМ-154/15 на оказание услуг по осуществлению авторского надзора с ООО «ГСС» расторгнут.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 xml:space="preserve">Решение Арбитражного суда г. Москвы по делу № А40-221203-17-14-1793 о признании законным одностороннего отказа от исполнения государственного контракта от 30.12.2014 № РТМ-99/14, а также пункта 24.3.3. </w:t>
            </w:r>
            <w:proofErr w:type="spellStart"/>
            <w:r w:rsidRPr="00D753BB">
              <w:rPr>
                <w:spacing w:val="-2"/>
                <w:sz w:val="23"/>
                <w:szCs w:val="23"/>
              </w:rPr>
              <w:t>госконтракта</w:t>
            </w:r>
            <w:proofErr w:type="spellEnd"/>
            <w:r w:rsidRPr="00D753BB">
              <w:rPr>
                <w:spacing w:val="-2"/>
                <w:sz w:val="23"/>
                <w:szCs w:val="23"/>
              </w:rPr>
              <w:t>, касающегося возможности его расторжения в случае неисполнения или ненадлежащего исполнения подрядчиком своих обязатель</w:t>
            </w:r>
            <w:proofErr w:type="gramStart"/>
            <w:r w:rsidRPr="00D753BB">
              <w:rPr>
                <w:spacing w:val="-2"/>
                <w:sz w:val="23"/>
                <w:szCs w:val="23"/>
              </w:rPr>
              <w:t xml:space="preserve">ств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вст</w:t>
            </w:r>
            <w:proofErr w:type="gramEnd"/>
            <w:r w:rsidRPr="00D753BB">
              <w:rPr>
                <w:spacing w:val="-2"/>
                <w:sz w:val="23"/>
                <w:szCs w:val="23"/>
              </w:rPr>
              <w:t>упило в законную силу.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>Таким образом, кассовые выплаты в отчетном периоде осуществлялись для оплаты работ в рамках договоров на оказание услуг по охране имущества строящегося объекта.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 xml:space="preserve">В целях исключения риска утраты или разрушения конструктивных элементов или деталей объекта незавершенного строительства федеральной собственности на основании решения Государственного заказчика было проведено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 xml:space="preserve">комплексное обследование на объекте строительства с инвентаризацией выполненных работ и фиксацией фактическое состояние объекта. В рамках утвержденной проектно-сметной документации подготовлен предварительный план первоочередных мероприятий, выполнение которых должно обеспечить прочность, устойчивость и сохранность конструкций, оборудования и материалов, а также безопасность объекта и строительной площадки. </w:t>
            </w:r>
            <w:proofErr w:type="gramStart"/>
            <w:r w:rsidRPr="00D753BB">
              <w:rPr>
                <w:spacing w:val="-2"/>
                <w:sz w:val="23"/>
                <w:szCs w:val="23"/>
              </w:rPr>
              <w:lastRenderedPageBreak/>
              <w:t xml:space="preserve">Особо актуальна скорейшая реализация указанных выше мероприятий в части объектов морской инфраструктуры, так как под воздействием естественных природных условий (ветровой и ледовой нагрузки, прибрежного течения, осадков, обледенения и штормов, в том числе летних тайфунов, сопровождающихся сильными ураганными ветрами,) происходит активное разрушение целостности конструктива лицевой стенки причалов и </w:t>
            </w:r>
            <w:proofErr w:type="spellStart"/>
            <w:r w:rsidRPr="00D753BB">
              <w:rPr>
                <w:spacing w:val="-2"/>
                <w:sz w:val="23"/>
                <w:szCs w:val="23"/>
              </w:rPr>
              <w:t>берегоукрепления</w:t>
            </w:r>
            <w:proofErr w:type="spellEnd"/>
            <w:r w:rsidRPr="00D753BB">
              <w:rPr>
                <w:spacing w:val="-2"/>
                <w:sz w:val="23"/>
                <w:szCs w:val="23"/>
              </w:rPr>
              <w:t xml:space="preserve"> с вымыванием ранее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отсыпанной скальным грунтов призмы анкерной стенки, что в свою</w:t>
            </w:r>
            <w:proofErr w:type="gramEnd"/>
            <w:r w:rsidRPr="00D753BB">
              <w:rPr>
                <w:spacing w:val="-2"/>
                <w:sz w:val="23"/>
                <w:szCs w:val="23"/>
              </w:rPr>
              <w:t xml:space="preserve"> очередь может привести к утере результата ранее выполненных и оплаченных Учреждением работ и конструкций гидротехнических сооружений.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proofErr w:type="gramStart"/>
            <w:r w:rsidRPr="00D753BB">
              <w:rPr>
                <w:spacing w:val="-2"/>
                <w:sz w:val="23"/>
                <w:szCs w:val="23"/>
              </w:rPr>
              <w:t xml:space="preserve">Письмом Минэкономразвития России от 11.09.2018 № 25863-АТ/Д17и утверждены изменения в ФАИП, обеспечившие необходимый объем бюджетных ассигнований в 2018-2019 годах для организации и проведения в текущем финансовом году конкурсных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процедур с целью заключения соответствующего государственного контракта на выполнение указанных первоочередных мероприятий по обеспечению прочности, устойчивости и сохранности конструкций, оборудования и материалов, а также безопасности объектов инвестиционного проекта, предусмотренных утвержденной проектно-сметной документацией.</w:t>
            </w:r>
            <w:proofErr w:type="gramEnd"/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 xml:space="preserve">23 октября 2018 г. объявлен конкурс с ограниченным участием на выполнение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строительных работ с разработкой рабочей документации «Развитие транспортного узла «Восточный - Находка» (Приморский край)» Объекты федеральной собственности. «Этап I – Объекты железнодорожного транспорта» и «Этап II. Объекты морского транспорта» (Россия, Приморский край, Находкинский городской округ в районе порта Восточный, Партизанский район).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 xml:space="preserve">Получено решение комиссии ФАС  России по г. Москве от 21.12.2018 № 63637/18 о согласовании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осуществления закупк</w:t>
            </w:r>
            <w:proofErr w:type="gramStart"/>
            <w:r w:rsidRPr="00D753BB">
              <w:rPr>
                <w:spacing w:val="-2"/>
                <w:sz w:val="23"/>
                <w:szCs w:val="23"/>
              </w:rPr>
              <w:t>и у ООО</w:t>
            </w:r>
            <w:proofErr w:type="gramEnd"/>
            <w:r w:rsidRPr="00D753BB">
              <w:rPr>
                <w:spacing w:val="-2"/>
                <w:sz w:val="23"/>
                <w:szCs w:val="23"/>
              </w:rPr>
              <w:t xml:space="preserve"> «ЛИДЕРСТРОЙ» как у единственного поставщика на право заключения государственного контракта на выполнение строительных работ с разработкой рабочей документации объекта. С подрядчиком заключен государственный контракт от 27.12.2018 № РТМ-424/18.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 xml:space="preserve">29 октября 2018 г. объявлен конкурс на оказание услуг по строительному </w:t>
            </w:r>
            <w:proofErr w:type="gramStart"/>
            <w:r w:rsidRPr="00D753BB">
              <w:rPr>
                <w:spacing w:val="-2"/>
                <w:sz w:val="23"/>
                <w:szCs w:val="23"/>
              </w:rPr>
              <w:t>контролю за</w:t>
            </w:r>
            <w:proofErr w:type="gramEnd"/>
            <w:r w:rsidRPr="00D753BB">
              <w:rPr>
                <w:spacing w:val="-2"/>
                <w:sz w:val="23"/>
                <w:szCs w:val="23"/>
              </w:rPr>
              <w:t xml:space="preserve"> разработкой рабочей документации и строительством объекта «Развитие транспортного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узла «Восточный - Находка» (Приморский край)» Объекты федеральной собственности. «Этап I – Объекты железнодорожного транспорта» и «Этап II. Объекты морского транспорта» (Россия, Приморский край, Находкинский городской округ в районе порта Восточный, Партизанский район), по итогам которого заключен государственный контракт с АО «Инжиниринговая компания «РГП» от 18.12.2018 № РТМ-417/18.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 xml:space="preserve">01 ноября 2018 г.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объявлен конкурс на оказание услуг авторского надзора за разработкой рабочей документации и строительством объекта.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proofErr w:type="gramStart"/>
            <w:r w:rsidRPr="00D753BB">
              <w:rPr>
                <w:spacing w:val="-2"/>
                <w:sz w:val="23"/>
                <w:szCs w:val="23"/>
              </w:rPr>
              <w:t>На основании направленного Учреждением обращения письмом от 11.12.2018 № ИГ-10/2470 комиссией ФАС  России по г. Москве 14.01.2019 принято решение о согласовании осуществления закупки у ООО «Научно-исследовательский и проектно-изыскательский институт «</w:t>
            </w:r>
            <w:proofErr w:type="spellStart"/>
            <w:r w:rsidRPr="00D753BB">
              <w:rPr>
                <w:spacing w:val="-2"/>
                <w:sz w:val="23"/>
                <w:szCs w:val="23"/>
              </w:rPr>
              <w:t>Севзапинжтехнология</w:t>
            </w:r>
            <w:proofErr w:type="spellEnd"/>
            <w:r w:rsidRPr="00D753BB">
              <w:rPr>
                <w:spacing w:val="-2"/>
                <w:sz w:val="23"/>
                <w:szCs w:val="23"/>
              </w:rPr>
              <w:t xml:space="preserve">» как у единственного поставщика на право заключения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государственного контракта на оказание услуг авторского надзора за разработкой рабочей документации и строительством объекта.</w:t>
            </w:r>
            <w:proofErr w:type="gramEnd"/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>Государственный контракт с подрядчиком будет заключен в начале 2019 г.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pacing w:val="-2"/>
                <w:sz w:val="23"/>
                <w:szCs w:val="23"/>
              </w:rPr>
              <w:t xml:space="preserve">Дальнейшая реализация проекта предполагается с использованием концессионной схемы и средств частных инвесторов. 07 марта 2018 г. АО «Открытый порт Находка» направило предложение о заключении концессионного соглашения по проекту в </w:t>
            </w:r>
            <w:r w:rsidRPr="00D753BB">
              <w:rPr>
                <w:spacing w:val="-2"/>
                <w:sz w:val="23"/>
                <w:szCs w:val="23"/>
              </w:rPr>
              <w:lastRenderedPageBreak/>
              <w:t>Правительство Российской Федерации в инициативном порядке, предусмотренном ч. 4.1 – 4.12 ст. 37 Федерального закона «О концессионных соглашениях».</w:t>
            </w: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бюджеты субъектов РФ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1.3.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2 245 000,0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  <w:lang w:val="en-US"/>
              </w:rPr>
            </w:pPr>
            <w:r w:rsidRPr="00D753BB">
              <w:rPr>
                <w:b/>
                <w:sz w:val="23"/>
                <w:szCs w:val="23"/>
                <w:lang w:val="en-US"/>
              </w:rPr>
              <w:t>III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pStyle w:val="2"/>
              <w:spacing w:after="0" w:line="240" w:lineRule="auto"/>
              <w:ind w:left="-142" w:right="-108"/>
              <w:contextualSpacing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«Комплексное развитие Мурманского транспортного узла»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5 301 087,1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5 701 216,9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6 201 696,1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1.1.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4 201 087,1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3 700 607,9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4 201 07,1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 рамках ФАИП на  строительство I этапа в 2018 году предусмотрено выделение сре</w:t>
            </w:r>
            <w:proofErr w:type="gramStart"/>
            <w:r w:rsidRPr="00D753BB">
              <w:rPr>
                <w:sz w:val="23"/>
                <w:szCs w:val="23"/>
              </w:rPr>
              <w:t>дств в р</w:t>
            </w:r>
            <w:proofErr w:type="gramEnd"/>
            <w:r w:rsidRPr="00D753BB">
              <w:rPr>
                <w:sz w:val="23"/>
                <w:szCs w:val="23"/>
              </w:rPr>
              <w:t xml:space="preserve">азмере 86 832, 1 тыс. руб. При данном финансировании целесообразно рассматривать вопрос </w:t>
            </w:r>
            <w:r w:rsidRPr="00D753BB">
              <w:rPr>
                <w:sz w:val="23"/>
                <w:szCs w:val="23"/>
              </w:rPr>
              <w:lastRenderedPageBreak/>
              <w:t>консервации объекта. Постановление Правительства РФ в части изменений основных условий гос. контракта (сроки и стоимость выполнения работ) находится в стадии подготовки.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 xml:space="preserve">В отчетном периоде на объекте строительства продолжены буровзрывные работы в выемках и карьере «Притрассовый-1» в количестве 490225 м3, отсыпке скальным и дренирующим грунтом, с </w:t>
            </w:r>
            <w:r w:rsidRPr="00D753BB">
              <w:rPr>
                <w:sz w:val="23"/>
                <w:szCs w:val="23"/>
              </w:rPr>
              <w:lastRenderedPageBreak/>
              <w:t>послойным уплотнением, насыпи земляного полотна в объёме 777327 м3, в том числе: 237865 м3 на ст. Выходной, 969 м3 на перегоне ст. Выходной – б/</w:t>
            </w:r>
            <w:proofErr w:type="gramStart"/>
            <w:r w:rsidRPr="00D753BB">
              <w:rPr>
                <w:sz w:val="23"/>
                <w:szCs w:val="23"/>
              </w:rPr>
              <w:t>п</w:t>
            </w:r>
            <w:proofErr w:type="gramEnd"/>
            <w:r w:rsidRPr="00D753BB">
              <w:rPr>
                <w:sz w:val="23"/>
                <w:szCs w:val="23"/>
              </w:rPr>
              <w:t xml:space="preserve"> 9, 37707 м3 на перегоне б/п 9 км – Мурмаши-2, 28330 м3 – ст. Мурмаши, 19920 м3 на перегоне Мурмаши-2 – ст. Промежуточная, 50679 м3 на перегоне ст. Промежуточная - ст. 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 xml:space="preserve"> и 401857 м3 на ст. 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>. Для разработки карьера № 1 произведены вскрышные работы в объёме 2588 м3, вывезено непригодного грунта и торфа 274348 м3.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Продолжаются работы по </w:t>
            </w:r>
            <w:r w:rsidRPr="00D753BB">
              <w:rPr>
                <w:sz w:val="23"/>
                <w:szCs w:val="23"/>
              </w:rPr>
              <w:lastRenderedPageBreak/>
              <w:t>переустройству инженерных сетей, попадающих в зону строительства железной дороги.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Ведутся работы по строительству железнодорожного мостового перехода через р. </w:t>
            </w:r>
            <w:proofErr w:type="spellStart"/>
            <w:r w:rsidRPr="00D753BB">
              <w:rPr>
                <w:sz w:val="23"/>
                <w:szCs w:val="23"/>
              </w:rPr>
              <w:t>Тулома</w:t>
            </w:r>
            <w:proofErr w:type="spellEnd"/>
            <w:r w:rsidRPr="00D753BB">
              <w:rPr>
                <w:sz w:val="23"/>
                <w:szCs w:val="23"/>
              </w:rPr>
              <w:t xml:space="preserve">. Выполнено устройство фундамента на трубобетонных сваях, устройство ростверка, полнотелая часть опоры М5, обратная засыпка ростверка и массивной части опоры, извлечено шпунтовое ограждение. Завершены работы по сооружению первой захватки пустотелой части опоры М5, </w:t>
            </w:r>
            <w:r w:rsidRPr="00D753BB">
              <w:rPr>
                <w:sz w:val="23"/>
                <w:szCs w:val="23"/>
              </w:rPr>
              <w:lastRenderedPageBreak/>
              <w:t>продолжаются работы по устройству второй захватки. Выполнены работы по сборке, сварке труб Ø1420 мм для сооружения трубобетонных свай на опоре М</w:t>
            </w:r>
            <w:proofErr w:type="gramStart"/>
            <w:r w:rsidRPr="00D753BB">
              <w:rPr>
                <w:sz w:val="23"/>
                <w:szCs w:val="23"/>
              </w:rPr>
              <w:t>6</w:t>
            </w:r>
            <w:proofErr w:type="gramEnd"/>
            <w:r w:rsidRPr="00D753BB">
              <w:rPr>
                <w:sz w:val="23"/>
                <w:szCs w:val="23"/>
              </w:rPr>
              <w:t xml:space="preserve">, продолжаются работы на опоре М3. Производится погружение </w:t>
            </w:r>
            <w:proofErr w:type="spellStart"/>
            <w:r w:rsidRPr="00D753BB">
              <w:rPr>
                <w:sz w:val="23"/>
                <w:szCs w:val="23"/>
              </w:rPr>
              <w:t>трубосвай</w:t>
            </w:r>
            <w:proofErr w:type="spellEnd"/>
            <w:r w:rsidRPr="00D753BB">
              <w:rPr>
                <w:sz w:val="23"/>
                <w:szCs w:val="23"/>
              </w:rPr>
              <w:t xml:space="preserve">, погружено 4 </w:t>
            </w:r>
            <w:proofErr w:type="spellStart"/>
            <w:r w:rsidRPr="00D753BB">
              <w:rPr>
                <w:sz w:val="23"/>
                <w:szCs w:val="23"/>
              </w:rPr>
              <w:t>трубосваи</w:t>
            </w:r>
            <w:proofErr w:type="spellEnd"/>
            <w:r w:rsidRPr="00D753BB">
              <w:rPr>
                <w:sz w:val="23"/>
                <w:szCs w:val="23"/>
              </w:rPr>
              <w:t xml:space="preserve"> из 15 по опоре М</w:t>
            </w:r>
            <w:proofErr w:type="gramStart"/>
            <w:r w:rsidRPr="00D753BB">
              <w:rPr>
                <w:sz w:val="23"/>
                <w:szCs w:val="23"/>
              </w:rPr>
              <w:t>6</w:t>
            </w:r>
            <w:proofErr w:type="gramEnd"/>
            <w:r w:rsidRPr="00D753BB">
              <w:rPr>
                <w:sz w:val="23"/>
                <w:szCs w:val="23"/>
              </w:rPr>
              <w:t xml:space="preserve"> и 5 </w:t>
            </w:r>
            <w:proofErr w:type="spellStart"/>
            <w:r w:rsidRPr="00D753BB">
              <w:rPr>
                <w:sz w:val="23"/>
                <w:szCs w:val="23"/>
              </w:rPr>
              <w:t>трубосвай</w:t>
            </w:r>
            <w:proofErr w:type="spellEnd"/>
            <w:r w:rsidRPr="00D753BB">
              <w:rPr>
                <w:sz w:val="23"/>
                <w:szCs w:val="23"/>
              </w:rPr>
              <w:t xml:space="preserve"> из 15 по опоре М3. Выполнены работы по проверке несущей способности </w:t>
            </w:r>
            <w:proofErr w:type="spellStart"/>
            <w:r w:rsidRPr="00D753BB">
              <w:rPr>
                <w:sz w:val="23"/>
                <w:szCs w:val="23"/>
              </w:rPr>
              <w:t>трубосвай</w:t>
            </w:r>
            <w:proofErr w:type="spellEnd"/>
            <w:r w:rsidRPr="00D753BB">
              <w:rPr>
                <w:sz w:val="23"/>
                <w:szCs w:val="23"/>
              </w:rPr>
              <w:t xml:space="preserve"> на опоре М</w:t>
            </w:r>
            <w:proofErr w:type="gramStart"/>
            <w:r w:rsidRPr="00D753BB">
              <w:rPr>
                <w:sz w:val="23"/>
                <w:szCs w:val="23"/>
              </w:rPr>
              <w:t>4</w:t>
            </w:r>
            <w:proofErr w:type="gramEnd"/>
            <w:r w:rsidRPr="00D753BB">
              <w:rPr>
                <w:sz w:val="23"/>
                <w:szCs w:val="23"/>
              </w:rPr>
              <w:t xml:space="preserve"> и устройству шпунтового ограждения, приступили к разработке котлована. На западной стороне Кольского залива </w:t>
            </w:r>
            <w:r w:rsidRPr="00D753BB">
              <w:rPr>
                <w:sz w:val="23"/>
                <w:szCs w:val="23"/>
              </w:rPr>
              <w:lastRenderedPageBreak/>
              <w:t>выполнен весь комплекс работ по сооружению опор ЗЭ8, ЗЭ</w:t>
            </w:r>
            <w:proofErr w:type="gramStart"/>
            <w:r w:rsidRPr="00D753BB">
              <w:rPr>
                <w:sz w:val="23"/>
                <w:szCs w:val="23"/>
              </w:rPr>
              <w:t>6</w:t>
            </w:r>
            <w:proofErr w:type="gramEnd"/>
            <w:r w:rsidRPr="00D753BB">
              <w:rPr>
                <w:sz w:val="23"/>
                <w:szCs w:val="23"/>
              </w:rPr>
              <w:t>. На восточной стороне Кольского залива завершён весь комплекс работ по сооружению опор ВЭ</w:t>
            </w:r>
            <w:proofErr w:type="gramStart"/>
            <w:r w:rsidRPr="00D753BB">
              <w:rPr>
                <w:sz w:val="23"/>
                <w:szCs w:val="23"/>
              </w:rPr>
              <w:t>1</w:t>
            </w:r>
            <w:proofErr w:type="gramEnd"/>
            <w:r w:rsidRPr="00D753BB">
              <w:rPr>
                <w:sz w:val="23"/>
                <w:szCs w:val="23"/>
              </w:rPr>
              <w:t>, ВЭ2, ВЭ3. Производятся работы по устройству БНС на опоре ВЭ</w:t>
            </w:r>
            <w:proofErr w:type="gramStart"/>
            <w:r w:rsidRPr="00D753BB">
              <w:rPr>
                <w:sz w:val="23"/>
                <w:szCs w:val="23"/>
              </w:rPr>
              <w:t>4</w:t>
            </w:r>
            <w:proofErr w:type="gramEnd"/>
            <w:r w:rsidRPr="00D753BB">
              <w:rPr>
                <w:sz w:val="23"/>
                <w:szCs w:val="23"/>
              </w:rPr>
              <w:t>, выполнено 5 БНС из 6.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На объекте автодорожный мост через р. Кола на ПК2311 закончены работы по сооружению опоры №№ 3-6, подпорных стен ПС</w:t>
            </w:r>
            <w:proofErr w:type="gramStart"/>
            <w:r w:rsidRPr="00D753BB">
              <w:rPr>
                <w:sz w:val="23"/>
                <w:szCs w:val="23"/>
              </w:rPr>
              <w:t>1</w:t>
            </w:r>
            <w:proofErr w:type="gramEnd"/>
            <w:r w:rsidRPr="00D753BB">
              <w:rPr>
                <w:sz w:val="23"/>
                <w:szCs w:val="23"/>
              </w:rPr>
              <w:t xml:space="preserve">, ПС2, ПС3. Выполнены конструктивные элементы: основания на опорах 1,2,7,8,15; </w:t>
            </w:r>
            <w:r w:rsidRPr="00D753BB">
              <w:rPr>
                <w:sz w:val="23"/>
                <w:szCs w:val="23"/>
              </w:rPr>
              <w:lastRenderedPageBreak/>
              <w:t xml:space="preserve">ростверки на опорах 1,2,7,8,15; массивные части тел опор 2 и 7; оголовки на опорах 2 и 7; монолитные стойки на опоре 2 и 7; монолитный ригель на опоре 2; тело опоры 1 и 15. Производятся работы по устройству: ригелей на опорах 1 и 7; </w:t>
            </w:r>
            <w:proofErr w:type="spellStart"/>
            <w:r w:rsidRPr="00D753BB">
              <w:rPr>
                <w:sz w:val="23"/>
                <w:szCs w:val="23"/>
              </w:rPr>
              <w:t>подферменников</w:t>
            </w:r>
            <w:proofErr w:type="spellEnd"/>
            <w:r w:rsidRPr="00D753BB">
              <w:rPr>
                <w:sz w:val="23"/>
                <w:szCs w:val="23"/>
              </w:rPr>
              <w:t xml:space="preserve"> на опоре 2; массивной части на опоре 8, свайного основания на опоре 9. Выполнено устройство шпунтового ограждения для сооружения опоры 9. Производятся работы по сооружению временного моста для строительства русловых опор, </w:t>
            </w:r>
            <w:r w:rsidRPr="00D753BB">
              <w:rPr>
                <w:sz w:val="23"/>
                <w:szCs w:val="23"/>
              </w:rPr>
              <w:lastRenderedPageBreak/>
              <w:t>выполнены опоры под пролет ВМ1-ВМ2, смонтирован пролет из МИК-П.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Выполнен I этап по сооружению водопропускных труб на ПК14312, на ПК14318 ст. Выходной, производятся работы по сооружению водопропускных труб на ПК14322 и ПК14305. Завершено строительство водопропускных труб на ПК700, ПК699, ПК696 перегона </w:t>
            </w:r>
            <w:proofErr w:type="spellStart"/>
            <w:r w:rsidRPr="00D753BB">
              <w:rPr>
                <w:sz w:val="23"/>
                <w:szCs w:val="23"/>
              </w:rPr>
              <w:t>ст</w:t>
            </w:r>
            <w:proofErr w:type="gramStart"/>
            <w:r w:rsidRPr="00D753BB">
              <w:rPr>
                <w:sz w:val="23"/>
                <w:szCs w:val="23"/>
              </w:rPr>
              <w:t>.П</w:t>
            </w:r>
            <w:proofErr w:type="gramEnd"/>
            <w:r w:rsidRPr="00D753BB">
              <w:rPr>
                <w:sz w:val="23"/>
                <w:szCs w:val="23"/>
              </w:rPr>
              <w:t>ромежуточная</w:t>
            </w:r>
            <w:proofErr w:type="spellEnd"/>
            <w:r w:rsidRPr="00D753BB">
              <w:rPr>
                <w:sz w:val="23"/>
                <w:szCs w:val="23"/>
              </w:rPr>
              <w:t xml:space="preserve"> – ст. 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 xml:space="preserve">. Производятся работы по устройству водопропускных труб на ПК693, ПК692, ПК686 перегона ст. </w:t>
            </w:r>
            <w:proofErr w:type="gramStart"/>
            <w:r w:rsidRPr="00D753BB">
              <w:rPr>
                <w:sz w:val="23"/>
                <w:szCs w:val="23"/>
              </w:rPr>
              <w:lastRenderedPageBreak/>
              <w:t>Промежуточная</w:t>
            </w:r>
            <w:proofErr w:type="gramEnd"/>
            <w:r w:rsidRPr="00D753BB">
              <w:rPr>
                <w:sz w:val="23"/>
                <w:szCs w:val="23"/>
              </w:rPr>
              <w:t xml:space="preserve"> – ст. 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>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Государственным заказчиком совместно с инженерами строительного контроля продолжается осуществление инструментального контроля изготовленных арматурных каркасов, БНС скважин опор, контроль пробуренных скважин под буровзрывные работы, </w:t>
            </w:r>
            <w:proofErr w:type="gramStart"/>
            <w:r w:rsidRPr="00D753BB">
              <w:rPr>
                <w:sz w:val="23"/>
                <w:szCs w:val="23"/>
              </w:rPr>
              <w:t>контроль за</w:t>
            </w:r>
            <w:proofErr w:type="gramEnd"/>
            <w:r w:rsidRPr="00D753BB">
              <w:rPr>
                <w:sz w:val="23"/>
                <w:szCs w:val="23"/>
              </w:rPr>
              <w:t xml:space="preserve"> железобетонными конструкциями водопропускных труб и опор мостов.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Получено положительное заключение </w:t>
            </w:r>
            <w:r w:rsidRPr="00D753BB">
              <w:rPr>
                <w:sz w:val="23"/>
                <w:szCs w:val="23"/>
              </w:rPr>
              <w:lastRenderedPageBreak/>
              <w:t>государственной экспертизы ФАУ «</w:t>
            </w:r>
            <w:proofErr w:type="spellStart"/>
            <w:r w:rsidRPr="00D753BB">
              <w:rPr>
                <w:sz w:val="23"/>
                <w:szCs w:val="23"/>
              </w:rPr>
              <w:t>Главгосэкспертиза</w:t>
            </w:r>
            <w:proofErr w:type="spellEnd"/>
            <w:r w:rsidRPr="00D753BB">
              <w:rPr>
                <w:sz w:val="23"/>
                <w:szCs w:val="23"/>
              </w:rPr>
              <w:t xml:space="preserve"> России» по проверке результатов инженерных изысканий откорректированного проекта от 22.02.2017 № 178-17/ГГЭ-8918/04 и достоверности определения сметной стоимости от 22.02.2017 № 179-17/ГГЭ-8918/10.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 соответствии с поручением Президента Российской Федерации В.В. Путина от 15.09.2017 № Пр-1881, данного по итогам совещания по вопросам развития транспортной инфраструктуры Северо-</w:t>
            </w:r>
            <w:r w:rsidRPr="00D753BB">
              <w:rPr>
                <w:sz w:val="23"/>
                <w:szCs w:val="23"/>
              </w:rPr>
              <w:lastRenderedPageBreak/>
              <w:t>Запада России, Правительству Российской Федерации необходимо принять исчерпывающие меры по реализации Проекта в установленные сроки.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Во исполнение поручения Председателя Правительства Российской Федерации Д.А. Медведева от 05.03.2018 № ДМ-П9-1217р Минтрансу России необходимо подготовить предложения по ускорению строительства железнодорожной линии Проекта совместно с ПАО «Газпром».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Учитывая важность Комплексного развития </w:t>
            </w:r>
            <w:r w:rsidRPr="00D753BB">
              <w:rPr>
                <w:sz w:val="23"/>
                <w:szCs w:val="23"/>
              </w:rPr>
              <w:lastRenderedPageBreak/>
              <w:t>Мурманского транспортного узла, Учреждением были подготовлены предложения по внесению изменений в ФАИП, предусматривающие увеличение бюджетные ассигнований в 2018 году на реализацию инвестиционного проекта в объеме 2 808 138,6 тыс. рублей по строке «строительство» с возвратом сре</w:t>
            </w:r>
            <w:proofErr w:type="gramStart"/>
            <w:r w:rsidRPr="00D753BB">
              <w:rPr>
                <w:sz w:val="23"/>
                <w:szCs w:val="23"/>
              </w:rPr>
              <w:t>дств в т</w:t>
            </w:r>
            <w:proofErr w:type="gramEnd"/>
            <w:r w:rsidRPr="00D753BB">
              <w:rPr>
                <w:sz w:val="23"/>
                <w:szCs w:val="23"/>
              </w:rPr>
              <w:t xml:space="preserve">ом же объеме в последующие годы. Указанные изменения утверждены Минэкономразвития России письмами от </w:t>
            </w:r>
            <w:r w:rsidRPr="00D753BB">
              <w:rPr>
                <w:sz w:val="23"/>
                <w:szCs w:val="23"/>
              </w:rPr>
              <w:lastRenderedPageBreak/>
              <w:t>11.09.2018 № 25880-АТ/Д17и, от 07.12.2018 № 36204-АТ/Д17и.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sz w:val="23"/>
                <w:szCs w:val="23"/>
              </w:rPr>
              <w:t xml:space="preserve">Во исполнение п. 3 протокола совещания у Председателя Правительства Российской Федерации Д.А. Медведева от 21.04.2017 № ДМ-П9-21пр Минтрансом России подготовлены предложения по реализации инвестиционного проекта «Комплексное развитие Мурманского транспортного узла» с привлечением средств из внебюджетных источников с применением механизма </w:t>
            </w:r>
            <w:r w:rsidRPr="00D753BB">
              <w:rPr>
                <w:sz w:val="23"/>
                <w:szCs w:val="23"/>
              </w:rPr>
              <w:lastRenderedPageBreak/>
              <w:t>частной концессионной инициативы в соответствии с Федеральным законом от 21.07.2005 № 115-ФЗ (ред. от 29.06.2018) «О концессионных соглашениях».</w:t>
            </w:r>
            <w:proofErr w:type="gramEnd"/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proofErr w:type="gramStart"/>
            <w:r w:rsidRPr="00D753BB">
              <w:rPr>
                <w:sz w:val="23"/>
                <w:szCs w:val="23"/>
              </w:rPr>
              <w:t>ООО «Морской торговый порт «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 xml:space="preserve">» 15.11.2017 направило в Правительство Российской Федерации предложение о заключении концессионного соглашения в отношении создания объектов инфраструктуры федеральной собственности морского порта Мурманск </w:t>
            </w:r>
            <w:r w:rsidRPr="00D753BB">
              <w:rPr>
                <w:sz w:val="23"/>
                <w:szCs w:val="23"/>
              </w:rPr>
              <w:lastRenderedPageBreak/>
              <w:t>(дноуглубление и база обслуживающего флота), включающего, в том числе, обязательства концессионера по строительству угольного терминала «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 xml:space="preserve">» и обязательства </w:t>
            </w:r>
            <w:proofErr w:type="spellStart"/>
            <w:r w:rsidRPr="00D753BB">
              <w:rPr>
                <w:sz w:val="23"/>
                <w:szCs w:val="23"/>
              </w:rPr>
              <w:t>концедента</w:t>
            </w:r>
            <w:proofErr w:type="spellEnd"/>
            <w:r w:rsidRPr="00D753BB">
              <w:rPr>
                <w:sz w:val="23"/>
                <w:szCs w:val="23"/>
              </w:rPr>
              <w:t xml:space="preserve"> по завершению строительства объектов инфраструктуры железнодорожного транспорта общего пользования железнодорожной линии «ст. Выходной - мостовой переход</w:t>
            </w:r>
            <w:proofErr w:type="gramEnd"/>
            <w:r w:rsidRPr="00D753BB">
              <w:rPr>
                <w:sz w:val="23"/>
                <w:szCs w:val="23"/>
              </w:rPr>
              <w:t xml:space="preserve"> через р. </w:t>
            </w:r>
            <w:proofErr w:type="spellStart"/>
            <w:r w:rsidRPr="00D753BB">
              <w:rPr>
                <w:sz w:val="23"/>
                <w:szCs w:val="23"/>
              </w:rPr>
              <w:t>Тулома</w:t>
            </w:r>
            <w:proofErr w:type="spellEnd"/>
            <w:r w:rsidRPr="00D753BB">
              <w:rPr>
                <w:sz w:val="23"/>
                <w:szCs w:val="23"/>
              </w:rPr>
              <w:t xml:space="preserve"> - ст. Мурмаши 2 - ст. 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>» до конца 2020 года.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Распоряжением Правительства </w:t>
            </w:r>
            <w:r w:rsidRPr="00D753BB">
              <w:rPr>
                <w:sz w:val="23"/>
                <w:szCs w:val="23"/>
              </w:rPr>
              <w:lastRenderedPageBreak/>
              <w:t xml:space="preserve">Российской Федерации от 01.10.2018 № 2111-р утверждены основные условия концессионного соглашения на финансирование, создание и эксплуатацию объектов инфраструктуры морского порта Мурманск, которое необходимо заключить с ООО «Морской торговый порт 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>».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Концессионное соглашение с ООО «Морской торговый порт </w:t>
            </w:r>
            <w:proofErr w:type="spellStart"/>
            <w:r w:rsidRPr="00D753BB">
              <w:rPr>
                <w:sz w:val="23"/>
                <w:szCs w:val="23"/>
              </w:rPr>
              <w:t>Лавна</w:t>
            </w:r>
            <w:proofErr w:type="spellEnd"/>
            <w:r w:rsidRPr="00D753BB">
              <w:rPr>
                <w:sz w:val="23"/>
                <w:szCs w:val="23"/>
              </w:rPr>
              <w:t>» подписано 16.11.2018.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-2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Объем дебиторской задолженности по объекту на 1 января 2019 </w:t>
            </w:r>
            <w:r w:rsidRPr="00D753BB">
              <w:rPr>
                <w:sz w:val="23"/>
                <w:szCs w:val="23"/>
              </w:rPr>
              <w:lastRenderedPageBreak/>
              <w:t xml:space="preserve">г. составил 2 934 181,8 тыс. рублей. Дебиторская задолженность образовалась в связи с осуществлением авансовых платежей в рамках заключенных государственных контрактов. Фактическое погашение дебиторской задолженности происходит путем частичного зачета выплаченного аванса, в момент принятия актов выполненных работ от контрагентов. Усилено координирование работы в части снижения задолженности. Осуществляется мониторинг дебиторской </w:t>
            </w:r>
            <w:r w:rsidRPr="00D753BB">
              <w:rPr>
                <w:sz w:val="23"/>
                <w:szCs w:val="23"/>
              </w:rPr>
              <w:lastRenderedPageBreak/>
              <w:t>задолженности для своевременного выявления негативных тенденций.</w:t>
            </w: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бюджеты субъектов РФ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1.3.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1 100 000,0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2 000 609,0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2 000 609,0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  <w:lang w:val="en-US"/>
              </w:rPr>
            </w:pPr>
            <w:r w:rsidRPr="00D753BB">
              <w:rPr>
                <w:b/>
                <w:sz w:val="23"/>
                <w:szCs w:val="23"/>
                <w:lang w:val="en-US"/>
              </w:rPr>
              <w:t>IV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bCs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«Комплексное развитие Новороссийского транспортного узла (Краснодарский край)».</w:t>
            </w:r>
            <w:r w:rsidRPr="00D753BB">
              <w:rPr>
                <w:bCs/>
                <w:sz w:val="23"/>
                <w:szCs w:val="23"/>
              </w:rPr>
              <w:t xml:space="preserve"> «</w:t>
            </w:r>
            <w:proofErr w:type="spellStart"/>
            <w:r w:rsidRPr="00D753BB">
              <w:rPr>
                <w:bCs/>
                <w:sz w:val="23"/>
                <w:szCs w:val="23"/>
              </w:rPr>
              <w:t>Подпроект</w:t>
            </w:r>
            <w:proofErr w:type="spellEnd"/>
            <w:r w:rsidRPr="00D753BB">
              <w:rPr>
                <w:bCs/>
                <w:sz w:val="23"/>
                <w:szCs w:val="23"/>
              </w:rPr>
              <w:t xml:space="preserve"> 3. Создание объектов железнодорожной инфраструктуры за счет федеральных средств. Строительство станции в районе разъезда 9 км Северо-Кавказской железной дороги»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25 928,7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13 243,7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10 934,9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1.1.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25 928,7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13 243,7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10 934,9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Изъятие земельных участков с расселением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Снос объектов капитального строительства, </w:t>
            </w:r>
            <w:r w:rsidRPr="00D753BB">
              <w:rPr>
                <w:sz w:val="23"/>
                <w:szCs w:val="23"/>
              </w:rPr>
              <w:lastRenderedPageBreak/>
              <w:t>подлежащих сносу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Ввод объекта в эксплуатацию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lastRenderedPageBreak/>
              <w:t xml:space="preserve">Временная эксплуатация станции Разъезд 9 км позволила обеспечить пуск движения железнодорожного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транспорта. В 2015 году строительно-монтажные работы на объекте полностью завершены.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 xml:space="preserve">При этом Северо-Кавказское управление Федеральной службы по экологическому, технологическому и атомному надзору предписанием от 24.02.2015 № 165-111-25 обязало Учреждение осуществить расселение и снос 43 жилых домов, расположенных в зоне санитарного разрыва построенного объекта, в </w:t>
            </w:r>
            <w:proofErr w:type="gramStart"/>
            <w:r w:rsidRPr="00D753BB">
              <w:rPr>
                <w:spacing w:val="2"/>
                <w:sz w:val="23"/>
                <w:szCs w:val="23"/>
              </w:rPr>
              <w:t>связи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с чем в выдаче заключения о соответствии параметров построенного объекта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 xml:space="preserve">капитального строительства проектной документации (ЗОС) Учреждению было отказано. По истечении срока указанного предписания было выдано новое от 14.12.2017 № 1249-150-16. Решением Арбитражного суда Краснодарского края от 20.07.2018 по делу № А32-11434/2018 предписание Северо-Кавказского управления 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Ростехнадзора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 xml:space="preserve"> было признано незаконным и отменено. В настоящее время решение Арбитражного суда вступило в законную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силу.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2"/>
                <w:sz w:val="23"/>
                <w:szCs w:val="23"/>
              </w:rPr>
            </w:pPr>
            <w:proofErr w:type="gramStart"/>
            <w:r w:rsidRPr="00D753BB">
              <w:rPr>
                <w:spacing w:val="2"/>
                <w:sz w:val="23"/>
                <w:szCs w:val="23"/>
              </w:rPr>
              <w:t xml:space="preserve">На основании документации по планировке территории объекта, утвержденной распоряжением Федеральным агентством железнодорожного транспорта от 17.11.2017 № ВЧ-128-р, а также в соответствии с распоряжениями 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Росжелдора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 xml:space="preserve"> от 07.12.2017 № ВЧ-146-р и от 22.03.2018 № ВЧ-48-р об изъятии путем выкупа земельных участков и расположенных на них объектов недвижимого имущества для нужд Российской Федерации в целях обеспечения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строительства объектов железнодорожного транспорта, создаваемых в рамках реализации проекта «Комплексное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развитие Новороссийского транспортного узла (Краснодарский край)». 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Подпроект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 xml:space="preserve"> 3: Создание объектов железнодорожной инфраструктуры за счет федеральных средств. </w:t>
            </w:r>
            <w:proofErr w:type="gramStart"/>
            <w:r w:rsidRPr="00D753BB">
              <w:rPr>
                <w:spacing w:val="2"/>
                <w:sz w:val="23"/>
                <w:szCs w:val="23"/>
              </w:rPr>
              <w:t>«Строительство станции в районе разъезда 9 км Северо-Кавказской железной дороги», подрядчиком в лице ООО «ГЕО Инвест-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Информ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 xml:space="preserve">» в рамках государственного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контракта от 11.08.2017 № РТМ-121/17 осуществляется работа по подготовке документов, необходимых для принятия решения об изъятии объектов недвижимости для государственных нужд, мероприятия по изъятию земельных участков, предусмотренные статьями 56.2 – 56.11 Земельного кодекса Российской Федерации, а также проводится комплекс земельно-кадастровых работ по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оформлению прав Учреждения на изымаемые объекты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недвижимости.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В целях перехода права собственности в пользу Российской Федерации на три земельных участка, принадлежащих ООО «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Агрокапитал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>», в настоящее время производится государственная регистрация подписанного соглашения об изъятии.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Еще по трём объектам недвижимого имущества, изъятым в собственность Российской Федерации, производится их оформление в постоянное (бессрочное) пользование ФКУ «Ространсмодернизация»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По 13 объектам недвижимости, правообладатели которых отказались от заключения соглашения об изъятии недвижимости для государственных нужд, ведётся судебный процесс в целях перехода права собственности в пользу Российской Федерации (переход права собственности будет осуществлен после определения размера возмещения).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2"/>
                <w:sz w:val="23"/>
                <w:szCs w:val="23"/>
              </w:rPr>
            </w:pPr>
            <w:proofErr w:type="gramStart"/>
            <w:r w:rsidRPr="00D753BB">
              <w:rPr>
                <w:spacing w:val="2"/>
                <w:sz w:val="23"/>
                <w:szCs w:val="23"/>
              </w:rPr>
              <w:t xml:space="preserve">Бюджетные ассигнования, позволяющие завершить регистрацию права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собственности Российской Федерации на все объекты недвижимости, расположенные в границах зоны размещения линейного объекта (в границах «красных линий» объекта федерального значения), предусмотрены Федеральным законом от 29.11.2018 № 459-ФЗ «О федеральном бюджете на 2019 год и на плановый период 2020 и 2021 годов», а также федеральной адресной инвестиционной программой на 2019 год и на плановый период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2020 и 2021 годов, утвержденной 11.12.2018 Министром экономического развития Российской Федерации М.С. Орешкиным (письмо Минэкономразвития России от 18.12.2018 № 37408-АТ/Д17и).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Завершение вышеуказанных мероприятий в кратчайшие сроки позволит в 2019 году обеспечить ввод объекта в постоянную эксплуатацию с последующей регистрацией права собственности Российской Федерации.</w:t>
            </w: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бюджеты субъектов РФ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1.3.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  <w:lang w:val="en-US"/>
              </w:rPr>
            </w:pPr>
            <w:r w:rsidRPr="00D753BB">
              <w:rPr>
                <w:b/>
                <w:sz w:val="23"/>
                <w:szCs w:val="23"/>
                <w:lang w:val="en-US"/>
              </w:rPr>
              <w:t>V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pStyle w:val="af0"/>
              <w:tabs>
                <w:tab w:val="left" w:pos="0"/>
              </w:tabs>
              <w:ind w:left="-142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53BB">
              <w:rPr>
                <w:rFonts w:ascii="Times New Roman" w:hAnsi="Times New Roman"/>
                <w:sz w:val="23"/>
                <w:szCs w:val="23"/>
              </w:rPr>
              <w:t>«Комплексное развитие Новороссийского транспортного узла (Краснодарский край)». «Строительство железнодорожных парков и развитие железнодорожной станции Новороссийск Северо-Кавказской железной дороги»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8 827 264,4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407 476,0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407 476,0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1.1.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62 464,4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2 главного пути на перегоне б/</w:t>
            </w:r>
            <w:proofErr w:type="gramStart"/>
            <w:r w:rsidRPr="00D753BB">
              <w:rPr>
                <w:sz w:val="23"/>
                <w:szCs w:val="23"/>
              </w:rPr>
              <w:t>п</w:t>
            </w:r>
            <w:proofErr w:type="gramEnd"/>
            <w:r w:rsidRPr="00D753BB">
              <w:rPr>
                <w:sz w:val="23"/>
                <w:szCs w:val="23"/>
              </w:rPr>
              <w:t xml:space="preserve"> Кирилловский – Парк Нижний в полном объеме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русла канала </w:t>
            </w:r>
            <w:proofErr w:type="spellStart"/>
            <w:r w:rsidRPr="00D753BB">
              <w:rPr>
                <w:sz w:val="23"/>
                <w:szCs w:val="23"/>
              </w:rPr>
              <w:t>Цемес</w:t>
            </w:r>
            <w:proofErr w:type="spellEnd"/>
            <w:r w:rsidRPr="00D753BB">
              <w:rPr>
                <w:sz w:val="23"/>
                <w:szCs w:val="23"/>
              </w:rPr>
              <w:t xml:space="preserve"> в полном объеме</w:t>
            </w:r>
          </w:p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водозаборных сооружений в полном объеме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</w:t>
            </w:r>
            <w:r w:rsidRPr="00D753BB">
              <w:rPr>
                <w:sz w:val="23"/>
                <w:szCs w:val="23"/>
              </w:rPr>
              <w:lastRenderedPageBreak/>
              <w:t>железнодорожных мостов в полном объеме</w:t>
            </w:r>
          </w:p>
        </w:tc>
        <w:tc>
          <w:tcPr>
            <w:tcW w:w="2551" w:type="dxa"/>
            <w:vMerge w:val="restart"/>
          </w:tcPr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  <w:proofErr w:type="gramStart"/>
            <w:r w:rsidRPr="00D753BB">
              <w:rPr>
                <w:spacing w:val="2"/>
                <w:sz w:val="23"/>
                <w:szCs w:val="23"/>
              </w:rPr>
              <w:lastRenderedPageBreak/>
              <w:t xml:space="preserve">В связи с низкими темпами строительства, нарушением подрядчиком сроков выполнения строительно-монтажных работ и корректировки проектно-сметной документации, а также нарушением Графика погашения выданного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аванса, государственным заказчиком в лице Учреждения в адрес АКБ «Российский капитал» (АО) было направлено требование об осуществлении уплаты денежной суммы в размере 2 679 762,5 тыс. рублей по Банковской гарантии от 23.03.2015 № 22225 (возврат непогашенной части аванса по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государственному контракту от 25.12.2014 № РТМ-89/14). Требование было удовлетворено в полном объеме. Платежными поручениями от 16.11.2017 № 17410 и от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14.12.2017 № 66452 указанные средства перечислены в доход федерального бюджета.</w:t>
            </w:r>
          </w:p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 xml:space="preserve">Постановлением Правительства Российской Федерации от 23.10.2018 № 1267 внесены изменения в государственную программу Российской Федерации «Развитие транспортной системы», </w:t>
            </w:r>
            <w:proofErr w:type="gramStart"/>
            <w:r w:rsidRPr="00D753BB">
              <w:rPr>
                <w:spacing w:val="2"/>
                <w:sz w:val="23"/>
                <w:szCs w:val="23"/>
              </w:rPr>
              <w:t>предусматривающие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в том числе увеличение объемов финансирования по инвестиционному проекту в 2021 году на сумму 2 679,8 млн. рублей, для восстановления средств, уплаченных в 2017 году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в доход федерального бюджета АКБ «Российский капитал» (АО) по банковской гарантии от 23.03.2015 № 22225 в качестве возврата непогашенной части аванса по государственному контракту от 25.12.2014 № РТМ-89/14.</w:t>
            </w:r>
          </w:p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  <w:proofErr w:type="gramStart"/>
            <w:r w:rsidRPr="00D753BB">
              <w:rPr>
                <w:spacing w:val="2"/>
                <w:sz w:val="23"/>
                <w:szCs w:val="23"/>
              </w:rPr>
              <w:t>Поскольку на стадии корректировки проектной документации объекта, при устранении замечаний ФАУ «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Главгосэкспертиза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 xml:space="preserve"> России», возникла неопределенность в вопросе применения технических условий ОАО «РЖД», а также в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вопросе применения уровня сейсмичности, работы по корректировке проектной документации до настоящего времени подрядчиком не завершены и не сформирован окончательный перечень земельных участков откорректированного проекта, попадающих в новую полосу отвода линейного объекта, достоверность определения затрат на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</w:t>
            </w:r>
            <w:proofErr w:type="gramStart"/>
            <w:r w:rsidRPr="00D753BB">
              <w:rPr>
                <w:spacing w:val="2"/>
                <w:sz w:val="23"/>
                <w:szCs w:val="23"/>
              </w:rPr>
              <w:t>изъятие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которых должна быть утверждена положительным заключением ФАУ «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Главгосэкспертиза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 xml:space="preserve"> России».</w:t>
            </w:r>
          </w:p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lastRenderedPageBreak/>
              <w:t xml:space="preserve">В связи с увеличением срока корректировки проектно-сметной </w:t>
            </w:r>
            <w:proofErr w:type="gramStart"/>
            <w:r w:rsidRPr="00D753BB">
              <w:rPr>
                <w:spacing w:val="2"/>
                <w:sz w:val="23"/>
                <w:szCs w:val="23"/>
              </w:rPr>
              <w:t>документации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выполненные подрядчиком работы не принимались государственным заказчиком в полном объеме и не оплачивались в 2018 году.</w:t>
            </w:r>
          </w:p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 xml:space="preserve">Изменение объемов финансирования объекта в части перераспределения в 2018 году бюджетных ассигнований в объеме 1 616 850,0 тыс. рублей на реализацию инвестиционного проекта «Комплексного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развития Мурманского транспортного узла» с  возвратом в последующие годы, утверждено письмом Минэкономразвития России от 11.09.2018 № 25880-АТ/Д17и, от 07.12.2018 № 36204-АТ/Д17и.</w:t>
            </w:r>
          </w:p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Дебиторская задолженность по объекту на 1 января 2019 г. отсутствует.</w:t>
            </w:r>
          </w:p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  <w:proofErr w:type="gramStart"/>
            <w:r w:rsidRPr="00D753BB">
              <w:rPr>
                <w:spacing w:val="2"/>
                <w:sz w:val="23"/>
                <w:szCs w:val="23"/>
              </w:rPr>
              <w:t xml:space="preserve">Определением Арбитражного суда города Санкт-Петербурга и Ленинградской области от 14.12.2018 по делу № А56-19962/2017/тр.12 принято к производству заявление ФНС в лице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УФНС по Ленинградской области о процессуальном правопреемстве в рамках дела о несостоятельности (банкротстве) общества с ограниченной ответственностью «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Стройновация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>» и назначено судебное заседание арбитражного суда первой инстанции на 26 февраля 2019 года.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Ходатайство о привлечении Учреждения к участию в деле в качестве третьего лица будет рассмотрено в ходе указанного судебного заседания.</w:t>
            </w:r>
          </w:p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 xml:space="preserve">Определением от 30.08.2018 суд признал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обоснованным и подлежащим включению в третью очередь реестра требований кредиторов ООО «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Стройновация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>» требование Учреждения, состоящее из 73 842 535 руб. 41 коп</w:t>
            </w:r>
            <w:proofErr w:type="gramStart"/>
            <w:r w:rsidRPr="00D753BB">
              <w:rPr>
                <w:spacing w:val="2"/>
                <w:sz w:val="23"/>
                <w:szCs w:val="23"/>
              </w:rPr>
              <w:t>.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</w:t>
            </w:r>
            <w:proofErr w:type="gramStart"/>
            <w:r w:rsidRPr="00D753BB">
              <w:rPr>
                <w:spacing w:val="2"/>
                <w:sz w:val="23"/>
                <w:szCs w:val="23"/>
              </w:rPr>
              <w:t>н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>еустойки.</w:t>
            </w:r>
          </w:p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  <w:proofErr w:type="gramStart"/>
            <w:r w:rsidRPr="00D753BB">
              <w:rPr>
                <w:spacing w:val="2"/>
                <w:sz w:val="23"/>
                <w:szCs w:val="23"/>
              </w:rPr>
              <w:t>В связи с неоднократным нарушением подрядчиком сроков выполнения строительно-монтажных работ и корректировки проектно-сметной документации, письмом от 29.12.2018 № ИГ-03/2644 Учреждение направило ООО «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Стройновация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 xml:space="preserve">» претензию о возмещении ущерба, связанного, в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том числе, с утратой оплаченных работ по государственному контракту от 25.12.2014 № РТМ-89/14, в случае, если не будет осуществлено производство работ по устранению недостатков, выявленных в результате проводимой ревизии, визуального и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инструментального контроля комиссией, образованной приказом Учреждения от 10.07.2018 № 47, по комплексному обследованию объекта «Комплексное развитие Новороссийского транспортного узла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(Краснодарский край). Строительство железнодорожных парков и развитие железнодорожной станции Новороссийск Северо-Кавказской железной дороги».</w:t>
            </w:r>
          </w:p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  <w:r w:rsidRPr="00D753BB">
              <w:rPr>
                <w:spacing w:val="2"/>
                <w:sz w:val="23"/>
                <w:szCs w:val="23"/>
              </w:rPr>
              <w:t>В связи с тем, чт</w:t>
            </w:r>
            <w:proofErr w:type="gramStart"/>
            <w:r w:rsidRPr="00D753BB">
              <w:rPr>
                <w:spacing w:val="2"/>
                <w:sz w:val="23"/>
                <w:szCs w:val="23"/>
              </w:rPr>
              <w:t>о ООО</w:t>
            </w:r>
            <w:proofErr w:type="gramEnd"/>
            <w:r w:rsidRPr="00D753BB">
              <w:rPr>
                <w:spacing w:val="2"/>
                <w:sz w:val="23"/>
                <w:szCs w:val="23"/>
              </w:rPr>
              <w:t xml:space="preserve"> «</w:t>
            </w:r>
            <w:proofErr w:type="spellStart"/>
            <w:r w:rsidRPr="00D753BB">
              <w:rPr>
                <w:spacing w:val="2"/>
                <w:sz w:val="23"/>
                <w:szCs w:val="23"/>
              </w:rPr>
              <w:t>Стройновация</w:t>
            </w:r>
            <w:proofErr w:type="spellEnd"/>
            <w:r w:rsidRPr="00D753BB">
              <w:rPr>
                <w:spacing w:val="2"/>
                <w:sz w:val="23"/>
                <w:szCs w:val="23"/>
              </w:rPr>
              <w:t>» не исполнило свои обязательства, планируется расторжение государственного контракта от 25.12.2014 № РТМ-89/14.</w:t>
            </w:r>
          </w:p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  <w:proofErr w:type="gramStart"/>
            <w:r w:rsidRPr="00D753BB">
              <w:rPr>
                <w:spacing w:val="2"/>
                <w:sz w:val="23"/>
                <w:szCs w:val="23"/>
              </w:rPr>
              <w:t xml:space="preserve">Кроме того, в 2019 году предусматривается заключение государственного контракта на выполнение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 xml:space="preserve">работ по корректировке проектной документации с проведением необходимых изыскательских работ для принятия рациональных проектных решений и государственной экспертизы откорректированного проекта, а также заключение государственного контракта на строительство для выполнения ремонтных и восстановительных мероприятий объектов и сооружений, находящихся в аварийном состоянии и </w:t>
            </w:r>
            <w:r w:rsidRPr="00D753BB">
              <w:rPr>
                <w:spacing w:val="2"/>
                <w:sz w:val="23"/>
                <w:szCs w:val="23"/>
              </w:rPr>
              <w:lastRenderedPageBreak/>
              <w:t>влияющих на безопасность эксплуатации железнодорожной инфраструктуры.</w:t>
            </w:r>
            <w:proofErr w:type="gramEnd"/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бюджеты субъектов РФ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35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8 579 400,0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407 476,0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407 476,0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suppressAutoHyphens/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tabs>
                <w:tab w:val="left" w:pos="3145"/>
              </w:tabs>
              <w:ind w:left="-142" w:right="-108"/>
              <w:contextualSpacing/>
              <w:jc w:val="center"/>
              <w:rPr>
                <w:spacing w:val="2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11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lastRenderedPageBreak/>
              <w:t>2.</w:t>
            </w:r>
          </w:p>
        </w:tc>
        <w:tc>
          <w:tcPr>
            <w:tcW w:w="15451" w:type="dxa"/>
            <w:gridSpan w:val="7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по направлению  «НИОКР»</w:t>
            </w:r>
          </w:p>
        </w:tc>
      </w:tr>
      <w:tr w:rsidR="00066D4C" w:rsidRPr="00D753BB" w:rsidTr="001009A0">
        <w:trPr>
          <w:gridBefore w:val="1"/>
          <w:wBefore w:w="318" w:type="dxa"/>
          <w:trHeight w:val="146"/>
        </w:trPr>
        <w:tc>
          <w:tcPr>
            <w:tcW w:w="15984" w:type="dxa"/>
            <w:gridSpan w:val="8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Направление (подпрограмма) «Дорожное хозяйство»</w:t>
            </w:r>
          </w:p>
        </w:tc>
      </w:tr>
      <w:tr w:rsidR="00066D4C" w:rsidRPr="00D753BB" w:rsidTr="001009A0">
        <w:trPr>
          <w:gridBefore w:val="1"/>
          <w:wBefore w:w="318" w:type="dxa"/>
          <w:trHeight w:val="70"/>
        </w:trPr>
        <w:tc>
          <w:tcPr>
            <w:tcW w:w="533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2.1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Проведение прикладных научно-исследовательских работ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Научное обеспечение работ в области технического регулирования в дорожном хозяйстве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467 484,0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96 741,0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96 741,0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Реализация Плана научно-исследовательских и опытно-конструкторских работ Федерального дорожного агентства.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753BB">
              <w:rPr>
                <w:color w:val="000000" w:themeColor="text1"/>
                <w:sz w:val="23"/>
                <w:szCs w:val="23"/>
              </w:rPr>
              <w:t>По состоянию на 01.04.2019 в рамках реализации Плана НИОКР в плановом порядке завершены 8 государственных контрактов на разработку нормативно-технических документов.</w:t>
            </w:r>
          </w:p>
        </w:tc>
      </w:tr>
      <w:tr w:rsidR="00066D4C" w:rsidRPr="00D753BB" w:rsidTr="001009A0">
        <w:trPr>
          <w:gridBefore w:val="1"/>
          <w:wBefore w:w="318" w:type="dxa"/>
          <w:trHeight w:val="7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15451" w:type="dxa"/>
            <w:gridSpan w:val="7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b/>
                <w:sz w:val="23"/>
                <w:szCs w:val="23"/>
              </w:rPr>
              <w:t>по направлению  «Прочие нужды»</w:t>
            </w:r>
          </w:p>
        </w:tc>
      </w:tr>
      <w:tr w:rsidR="00066D4C" w:rsidRPr="00D753BB" w:rsidTr="001009A0">
        <w:trPr>
          <w:gridBefore w:val="1"/>
          <w:wBefore w:w="318" w:type="dxa"/>
          <w:trHeight w:val="70"/>
        </w:trPr>
        <w:tc>
          <w:tcPr>
            <w:tcW w:w="15984" w:type="dxa"/>
            <w:gridSpan w:val="8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Направление (подпрограмма) «Дорожное хозяйство»</w:t>
            </w:r>
          </w:p>
        </w:tc>
      </w:tr>
      <w:tr w:rsidR="00066D4C" w:rsidRPr="00D753BB" w:rsidTr="001009A0">
        <w:trPr>
          <w:gridBefore w:val="1"/>
          <w:wBefore w:w="318" w:type="dxa"/>
          <w:trHeight w:val="126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3.1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и реконструкция автомобильной </w:t>
            </w:r>
            <w:r w:rsidRPr="00D753BB">
              <w:rPr>
                <w:sz w:val="23"/>
                <w:szCs w:val="23"/>
              </w:rPr>
              <w:lastRenderedPageBreak/>
              <w:t>дороги М-1 «Беларусь» Москва - граница с Республикой Белоруссия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lastRenderedPageBreak/>
              <w:t>9 147 100,0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64 827,2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85 796,8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Ввод в эксплуатацию транспортной развязки </w:t>
            </w:r>
            <w:r w:rsidRPr="00D753BB">
              <w:rPr>
                <w:sz w:val="23"/>
                <w:szCs w:val="23"/>
              </w:rPr>
              <w:lastRenderedPageBreak/>
              <w:t xml:space="preserve">на </w:t>
            </w:r>
            <w:proofErr w:type="gramStart"/>
            <w:r w:rsidRPr="00D753BB">
              <w:rPr>
                <w:sz w:val="23"/>
                <w:szCs w:val="23"/>
              </w:rPr>
              <w:t>км</w:t>
            </w:r>
            <w:proofErr w:type="gramEnd"/>
            <w:r w:rsidRPr="00D753BB">
              <w:rPr>
                <w:sz w:val="23"/>
                <w:szCs w:val="23"/>
              </w:rPr>
              <w:t xml:space="preserve">  27 протяженностью 2,75 км автомобильной дороги М-1 "Беларусь"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lastRenderedPageBreak/>
              <w:t xml:space="preserve">Строительно-монтажные работы по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 xml:space="preserve">строительству транспортных развязок на </w:t>
            </w:r>
            <w:proofErr w:type="gramStart"/>
            <w:r w:rsidRPr="00D753BB">
              <w:rPr>
                <w:color w:val="000000"/>
                <w:sz w:val="23"/>
                <w:szCs w:val="23"/>
              </w:rPr>
              <w:t>км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 xml:space="preserve"> 25 и км 27 автомобильной дороги М-1 "Беларусь"</w:t>
            </w: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3.2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и реконструкция автомобильной дороги М-4 «Дон» - Москва - Воронеж - Ростов-на-Дону - Краснодар - Новороссийск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46 332 700,0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3 493 652,1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2 553 299,5</w:t>
            </w:r>
          </w:p>
        </w:tc>
        <w:tc>
          <w:tcPr>
            <w:tcW w:w="2689" w:type="dxa"/>
            <w:vMerge w:val="restart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Ввод в эксплуатацию транспортной развязки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на </w:t>
            </w:r>
            <w:proofErr w:type="gramStart"/>
            <w:r w:rsidRPr="00D753BB">
              <w:rPr>
                <w:sz w:val="23"/>
                <w:szCs w:val="23"/>
              </w:rPr>
              <w:t>км</w:t>
            </w:r>
            <w:proofErr w:type="gramEnd"/>
            <w:r w:rsidRPr="00D753BB">
              <w:rPr>
                <w:sz w:val="23"/>
                <w:szCs w:val="23"/>
              </w:rPr>
              <w:t xml:space="preserve"> 1319 протяженностью 2,9 км автомобильной дороги М-4 "Дон"</w:t>
            </w:r>
          </w:p>
        </w:tc>
        <w:tc>
          <w:tcPr>
            <w:tcW w:w="2551" w:type="dxa"/>
            <w:vMerge w:val="restart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Выполнение строительно-монтажных работ и работ по подготовке территории строительства</w:t>
            </w: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2 944 400,0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3.3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скоростной автомобильной дороги М-11 Москва - Санкт-Петербург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2 523 900,0</w:t>
            </w:r>
          </w:p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23 842,1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  <w:vMerge w:val="restart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Ввод в эксплуатацию автомобильной дороги М-11 Москва - Санкт-Петербург на участках: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- путепровод </w:t>
            </w:r>
            <w:proofErr w:type="gramStart"/>
            <w:r w:rsidRPr="00D753BB">
              <w:rPr>
                <w:sz w:val="23"/>
                <w:szCs w:val="23"/>
              </w:rPr>
              <w:t>км</w:t>
            </w:r>
            <w:proofErr w:type="gramEnd"/>
            <w:r w:rsidRPr="00D753BB">
              <w:rPr>
                <w:sz w:val="23"/>
                <w:szCs w:val="23"/>
              </w:rPr>
              <w:t xml:space="preserve"> 22+120 протяженностью 1,88 км;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- путепровод </w:t>
            </w:r>
            <w:proofErr w:type="gramStart"/>
            <w:r w:rsidRPr="00D753BB">
              <w:rPr>
                <w:sz w:val="23"/>
                <w:szCs w:val="23"/>
              </w:rPr>
              <w:t>км</w:t>
            </w:r>
            <w:proofErr w:type="gramEnd"/>
            <w:r w:rsidRPr="00D753BB">
              <w:rPr>
                <w:sz w:val="23"/>
                <w:szCs w:val="23"/>
              </w:rPr>
              <w:t xml:space="preserve"> 56+035 протяженностью 0,7 км;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 xml:space="preserve">- путепровод </w:t>
            </w:r>
            <w:proofErr w:type="gramStart"/>
            <w:r w:rsidRPr="00D753BB">
              <w:rPr>
                <w:sz w:val="23"/>
                <w:szCs w:val="23"/>
              </w:rPr>
              <w:t>км</w:t>
            </w:r>
            <w:proofErr w:type="gramEnd"/>
            <w:r w:rsidRPr="00D753BB">
              <w:rPr>
                <w:sz w:val="23"/>
                <w:szCs w:val="23"/>
              </w:rPr>
              <w:t xml:space="preserve"> 32+635 протяженностью 0,39 км;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- подъезд к Зеленограду </w:t>
            </w:r>
            <w:proofErr w:type="gramStart"/>
            <w:r w:rsidRPr="00D753BB">
              <w:rPr>
                <w:sz w:val="23"/>
                <w:szCs w:val="23"/>
              </w:rPr>
              <w:t>км</w:t>
            </w:r>
            <w:proofErr w:type="gramEnd"/>
            <w:r w:rsidRPr="00D753BB">
              <w:rPr>
                <w:sz w:val="23"/>
                <w:szCs w:val="23"/>
              </w:rPr>
              <w:t xml:space="preserve"> 37 протяженностью 0,8 км;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- </w:t>
            </w:r>
            <w:proofErr w:type="gramStart"/>
            <w:r w:rsidRPr="00D753BB">
              <w:rPr>
                <w:sz w:val="23"/>
                <w:szCs w:val="23"/>
              </w:rPr>
              <w:t>км</w:t>
            </w:r>
            <w:proofErr w:type="gramEnd"/>
            <w:r w:rsidRPr="00D753BB">
              <w:rPr>
                <w:sz w:val="23"/>
                <w:szCs w:val="23"/>
              </w:rPr>
              <w:t xml:space="preserve"> 97 - км 149 протяженностью 50,88 км;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- </w:t>
            </w:r>
            <w:proofErr w:type="gramStart"/>
            <w:r w:rsidRPr="00D753BB">
              <w:rPr>
                <w:sz w:val="23"/>
                <w:szCs w:val="23"/>
              </w:rPr>
              <w:t>км</w:t>
            </w:r>
            <w:proofErr w:type="gramEnd"/>
            <w:r w:rsidRPr="00D753BB">
              <w:rPr>
                <w:sz w:val="23"/>
                <w:szCs w:val="23"/>
              </w:rPr>
              <w:t xml:space="preserve"> 543 - км 646 протяженностью 103,39 км;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- </w:t>
            </w:r>
            <w:proofErr w:type="gramStart"/>
            <w:r w:rsidRPr="00D753BB">
              <w:rPr>
                <w:sz w:val="23"/>
                <w:szCs w:val="23"/>
              </w:rPr>
              <w:t>км</w:t>
            </w:r>
            <w:proofErr w:type="gramEnd"/>
            <w:r w:rsidRPr="00D753BB">
              <w:rPr>
                <w:sz w:val="23"/>
                <w:szCs w:val="23"/>
              </w:rPr>
              <w:t xml:space="preserve"> 646 - км 684 протяженностью 34,21 км;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- подключение к улично-дорожной сети г. Санкт-Петербург (продолжение Софийской ул.) скоростной автомобильной дороги Москва – Санкт-</w:t>
            </w:r>
            <w:r w:rsidRPr="00D753BB">
              <w:rPr>
                <w:sz w:val="23"/>
                <w:szCs w:val="23"/>
              </w:rPr>
              <w:lastRenderedPageBreak/>
              <w:t>Петербург с устройством транспортных развязок протяженностью 2,4 км.</w:t>
            </w:r>
          </w:p>
        </w:tc>
        <w:tc>
          <w:tcPr>
            <w:tcW w:w="2551" w:type="dxa"/>
            <w:vMerge w:val="restart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lastRenderedPageBreak/>
              <w:t>Строительно-монтажные работы по строительству автомобильной дороги М-11 Москва - Санкт-Петербург на участках:</w:t>
            </w:r>
          </w:p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D753BB">
              <w:rPr>
                <w:color w:val="000000"/>
                <w:sz w:val="23"/>
                <w:szCs w:val="23"/>
              </w:rPr>
              <w:t>км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 xml:space="preserve"> 97 – км 149;</w:t>
            </w:r>
          </w:p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D753BB">
              <w:rPr>
                <w:color w:val="000000"/>
                <w:sz w:val="23"/>
                <w:szCs w:val="23"/>
              </w:rPr>
              <w:t>км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 xml:space="preserve"> 543 – км 646;</w:t>
            </w:r>
          </w:p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D753BB">
              <w:rPr>
                <w:color w:val="000000"/>
                <w:sz w:val="23"/>
                <w:szCs w:val="23"/>
              </w:rPr>
              <w:t>км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 xml:space="preserve"> 646 – км 684;</w:t>
            </w:r>
          </w:p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lastRenderedPageBreak/>
              <w:t>подключение к улично-дорожной сети г. Санкт-Петербург (продолжение Софийской ул.) скоростной автомобильной дороги Москва – Санкт-Петербург с устройством транспортных развязок</w:t>
            </w: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44 959 300,0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179 384,6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1 848 667,1</w:t>
            </w: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3.4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Центральной кольцевой автомобильной дороги А-113 (Московская область)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753BB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18 692 700,0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753BB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30 638 150,9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753BB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18 764 458,7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Ввод в эксплуатацию автомобильной дороги А-113 на участках: пускового комплекса № 1 протяженностью  49,5 км;</w:t>
            </w: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пускового комплекса № 5  протяженностью 76,4 км,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FF0000"/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Выполнение строительно-монтажных работ и работ по подготовке территории строительства</w:t>
            </w: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753BB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117 981 100,0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753BB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26 040 422,1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ind w:left="-142" w:right="-108"/>
              <w:jc w:val="center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753BB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43 025 675,9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045"/>
        </w:trPr>
        <w:tc>
          <w:tcPr>
            <w:tcW w:w="533" w:type="dxa"/>
            <w:vMerge w:val="restart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3.5</w:t>
            </w:r>
          </w:p>
        </w:tc>
        <w:tc>
          <w:tcPr>
            <w:tcW w:w="3261" w:type="dxa"/>
            <w:vMerge w:val="restart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и реконструкция автомобильной дороги М-3 «Украина» - Москва - Калуга - Брянск - граница с Украиной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822 800,0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5 597,4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2 273,6</w:t>
            </w:r>
          </w:p>
        </w:tc>
        <w:tc>
          <w:tcPr>
            <w:tcW w:w="2689" w:type="dxa"/>
            <w:vMerge w:val="restart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Выполнение работ по комплексному обустройству и разработке проектной документации</w:t>
            </w:r>
          </w:p>
        </w:tc>
        <w:tc>
          <w:tcPr>
            <w:tcW w:w="2551" w:type="dxa"/>
            <w:vMerge w:val="restart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Выполнение работ по комплексному обустройству и разработке проектной документации</w:t>
            </w: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vMerge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442 000,0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3.6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строительство скоростной автомобильной дороги </w:t>
            </w:r>
            <w:r w:rsidRPr="00D753BB">
              <w:rPr>
                <w:sz w:val="23"/>
                <w:szCs w:val="23"/>
              </w:rPr>
              <w:lastRenderedPageBreak/>
              <w:t>Москва - Нижний Новгород – Казань на участке обхода гг. Балашихи и Ногинска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lastRenderedPageBreak/>
              <w:t>2 263 200,0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10 872,6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Выполнение проектно-изыскательских работ и </w:t>
            </w:r>
            <w:r w:rsidRPr="00D753BB">
              <w:rPr>
                <w:sz w:val="23"/>
                <w:szCs w:val="23"/>
              </w:rPr>
              <w:lastRenderedPageBreak/>
              <w:t>работ по подготовке территории строительства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lastRenderedPageBreak/>
              <w:t xml:space="preserve">Выполнение работ по подготовке территории </w:t>
            </w:r>
            <w:r w:rsidRPr="00D753BB">
              <w:rPr>
                <w:color w:val="000000"/>
                <w:sz w:val="23"/>
                <w:szCs w:val="23"/>
              </w:rPr>
              <w:lastRenderedPageBreak/>
              <w:t>строительства</w:t>
            </w: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3.7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и реконструкция автомобильных дорог для обеспечения комплексного развития Новороссийского транспортного узла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607 000,0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239 523,3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Ввод в эксплуатацию  транспортной развязки на участке </w:t>
            </w:r>
            <w:proofErr w:type="spellStart"/>
            <w:r w:rsidRPr="00D753BB">
              <w:rPr>
                <w:sz w:val="23"/>
                <w:szCs w:val="23"/>
              </w:rPr>
              <w:t>Сухумийское</w:t>
            </w:r>
            <w:proofErr w:type="spellEnd"/>
            <w:r w:rsidRPr="00D753BB">
              <w:rPr>
                <w:sz w:val="23"/>
                <w:szCs w:val="23"/>
              </w:rPr>
              <w:t xml:space="preserve"> шоссе </w:t>
            </w:r>
            <w:proofErr w:type="spellStart"/>
            <w:r w:rsidRPr="00D753BB">
              <w:rPr>
                <w:sz w:val="23"/>
                <w:szCs w:val="23"/>
              </w:rPr>
              <w:t>протяженноситью</w:t>
            </w:r>
            <w:proofErr w:type="spellEnd"/>
            <w:r w:rsidRPr="00D753BB">
              <w:rPr>
                <w:sz w:val="23"/>
                <w:szCs w:val="23"/>
              </w:rPr>
              <w:t xml:space="preserve"> 1,52 км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 xml:space="preserve">Выполнение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стротельно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>-монтажных работ</w:t>
            </w: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3.8</w:t>
            </w: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проектирование и </w:t>
            </w:r>
            <w:proofErr w:type="spellStart"/>
            <w:r w:rsidRPr="00D753BB">
              <w:rPr>
                <w:sz w:val="23"/>
                <w:szCs w:val="23"/>
              </w:rPr>
              <w:t>предпроектная</w:t>
            </w:r>
            <w:proofErr w:type="spellEnd"/>
            <w:r w:rsidRPr="00D753BB">
              <w:rPr>
                <w:sz w:val="23"/>
                <w:szCs w:val="23"/>
              </w:rPr>
              <w:t xml:space="preserve"> проработка перспективных объектов опорной сети скоростных автомобильных дорог Российской Федерации</w:t>
            </w:r>
          </w:p>
          <w:p w:rsidR="00066D4C" w:rsidRPr="00D753BB" w:rsidRDefault="00066D4C" w:rsidP="001009A0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593 700,0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753BB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 xml:space="preserve">Выполнение комплекса </w:t>
            </w:r>
            <w:proofErr w:type="spellStart"/>
            <w:r w:rsidRPr="00D753BB">
              <w:rPr>
                <w:sz w:val="23"/>
                <w:szCs w:val="23"/>
              </w:rPr>
              <w:t>предпроектных</w:t>
            </w:r>
            <w:proofErr w:type="spellEnd"/>
            <w:r w:rsidRPr="00D753BB">
              <w:rPr>
                <w:sz w:val="23"/>
                <w:szCs w:val="23"/>
              </w:rPr>
              <w:t xml:space="preserve"> работ по объекту «Скоростная автомобильная дорога Краснодар-Абинск-Кабардинка» и по объекту МТМ "</w:t>
            </w:r>
            <w:proofErr w:type="gramStart"/>
            <w:r w:rsidRPr="00D753BB">
              <w:rPr>
                <w:sz w:val="23"/>
                <w:szCs w:val="23"/>
              </w:rPr>
              <w:t>Европа-Западный</w:t>
            </w:r>
            <w:proofErr w:type="gramEnd"/>
            <w:r w:rsidRPr="00D753BB">
              <w:rPr>
                <w:sz w:val="23"/>
                <w:szCs w:val="23"/>
              </w:rPr>
              <w:t xml:space="preserve"> Китай"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 xml:space="preserve">Выполнение комплекса </w:t>
            </w:r>
            <w:proofErr w:type="spellStart"/>
            <w:r w:rsidRPr="00D753BB">
              <w:rPr>
                <w:color w:val="000000"/>
                <w:sz w:val="23"/>
                <w:szCs w:val="23"/>
              </w:rPr>
              <w:t>предпроектных</w:t>
            </w:r>
            <w:proofErr w:type="spellEnd"/>
            <w:r w:rsidRPr="00D753BB">
              <w:rPr>
                <w:color w:val="000000"/>
                <w:sz w:val="23"/>
                <w:szCs w:val="23"/>
              </w:rPr>
              <w:t xml:space="preserve"> работ по объекту «Скоростная автомобильная дорога Краснодар-Абинск-Кабардинка» и по объекту МТМ "</w:t>
            </w:r>
            <w:proofErr w:type="gramStart"/>
            <w:r w:rsidRPr="00D753BB">
              <w:rPr>
                <w:color w:val="000000"/>
                <w:sz w:val="23"/>
                <w:szCs w:val="23"/>
              </w:rPr>
              <w:t>Европа-Западный</w:t>
            </w:r>
            <w:proofErr w:type="gramEnd"/>
            <w:r w:rsidRPr="00D753BB">
              <w:rPr>
                <w:color w:val="000000"/>
                <w:sz w:val="23"/>
                <w:szCs w:val="23"/>
              </w:rPr>
              <w:t xml:space="preserve"> Китай"</w:t>
            </w: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lastRenderedPageBreak/>
              <w:t>3.9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устранение «узких» мест на основных направлениях транспортных коридоров в Московской агломерации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342 900,0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Выполнение проектно-изыскательских работ и разработка проекта межевания территории по объекту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rPr>
          <w:gridBefore w:val="1"/>
          <w:wBefore w:w="318" w:type="dxa"/>
          <w:trHeight w:val="150"/>
        </w:trPr>
        <w:tc>
          <w:tcPr>
            <w:tcW w:w="533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3.10</w:t>
            </w: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строительство и модернизация российских участков автомобильных дорог, относящихся к международному транспортному маршруту «Европа - Западный Китай»</w:t>
            </w:r>
          </w:p>
        </w:tc>
        <w:tc>
          <w:tcPr>
            <w:tcW w:w="2410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2 631 400,0</w:t>
            </w:r>
          </w:p>
        </w:tc>
        <w:tc>
          <w:tcPr>
            <w:tcW w:w="2272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268" w:type="dxa"/>
            <w:gridSpan w:val="2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  <w:r w:rsidRPr="00D753B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2689" w:type="dxa"/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  <w:r w:rsidRPr="00D753BB">
              <w:rPr>
                <w:sz w:val="23"/>
                <w:szCs w:val="23"/>
              </w:rPr>
              <w:t>Выполнение проектно-изыскательских работ и разработка проекта межевания территории по объекту</w:t>
            </w:r>
          </w:p>
        </w:tc>
        <w:tc>
          <w:tcPr>
            <w:tcW w:w="2551" w:type="dxa"/>
          </w:tcPr>
          <w:p w:rsidR="00066D4C" w:rsidRPr="00D753BB" w:rsidRDefault="00066D4C" w:rsidP="001009A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66D4C" w:rsidRPr="00D753BB" w:rsidTr="00100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69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D4C" w:rsidRPr="00D753BB" w:rsidRDefault="00066D4C" w:rsidP="001009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  <w:lang w:eastAsia="ru-RU"/>
              </w:rPr>
            </w:pPr>
          </w:p>
          <w:p w:rsidR="00066D4C" w:rsidRPr="00D753BB" w:rsidRDefault="00066D4C" w:rsidP="001009A0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6D4C" w:rsidRPr="00D753BB" w:rsidRDefault="00066D4C" w:rsidP="001009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  <w:p w:rsidR="001009A0" w:rsidRPr="00D753BB" w:rsidRDefault="001009A0" w:rsidP="001009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  <w:p w:rsidR="001009A0" w:rsidRPr="00D753BB" w:rsidRDefault="001009A0" w:rsidP="001009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  <w:p w:rsidR="00066D4C" w:rsidRPr="00D753BB" w:rsidRDefault="00066D4C" w:rsidP="001009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  <w:p w:rsidR="00066D4C" w:rsidRPr="00D753BB" w:rsidRDefault="00066D4C" w:rsidP="001009A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D753BB">
              <w:rPr>
                <w:color w:val="000000"/>
                <w:sz w:val="23"/>
                <w:szCs w:val="23"/>
                <w:lang w:eastAsia="ru-RU"/>
              </w:rPr>
              <w:t>Первый заместитель Министра</w:t>
            </w:r>
          </w:p>
          <w:p w:rsidR="00066D4C" w:rsidRPr="00D753BB" w:rsidRDefault="00066D4C" w:rsidP="001009A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D753BB">
              <w:rPr>
                <w:color w:val="000000"/>
                <w:sz w:val="23"/>
                <w:szCs w:val="23"/>
                <w:lang w:eastAsia="ru-RU"/>
              </w:rPr>
              <w:t>транспорта Российской Федерации                 __________________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D4C" w:rsidRPr="00D753BB" w:rsidRDefault="00066D4C" w:rsidP="001009A0">
            <w:pPr>
              <w:jc w:val="center"/>
              <w:rPr>
                <w:sz w:val="23"/>
                <w:szCs w:val="23"/>
              </w:rPr>
            </w:pPr>
          </w:p>
          <w:tbl>
            <w:tblPr>
              <w:tblW w:w="482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7"/>
              <w:gridCol w:w="425"/>
              <w:gridCol w:w="1077"/>
              <w:gridCol w:w="3041"/>
            </w:tblGrid>
            <w:tr w:rsidR="00066D4C" w:rsidRPr="00D753BB" w:rsidTr="00CC0009">
              <w:trPr>
                <w:trHeight w:val="362"/>
              </w:trPr>
              <w:tc>
                <w:tcPr>
                  <w:tcW w:w="4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D4C" w:rsidRPr="00D753BB" w:rsidRDefault="00066D4C" w:rsidP="001009A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1009A0" w:rsidRPr="00D753BB" w:rsidRDefault="001009A0" w:rsidP="001009A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1009A0" w:rsidRPr="00D753BB" w:rsidRDefault="001009A0" w:rsidP="001009A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1009A0" w:rsidRPr="00D753BB" w:rsidRDefault="001009A0" w:rsidP="001009A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066D4C" w:rsidRPr="00D753BB" w:rsidRDefault="00066D4C" w:rsidP="001009A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53BB"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  <w:t>Исполнитель: Спиридонов Евгений Юрьевич</w:t>
                  </w:r>
                </w:p>
                <w:p w:rsidR="00066D4C" w:rsidRPr="00D753BB" w:rsidRDefault="00066D4C" w:rsidP="001009A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53BB"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  <w:t>Телефон: (499) 495 00 00 (24 62)</w:t>
                  </w:r>
                </w:p>
                <w:p w:rsidR="00066D4C" w:rsidRPr="00D753BB" w:rsidRDefault="00066D4C" w:rsidP="001009A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D753BB"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  <w:t>E-mail:spiridonoveu@mintrans.ru</w:t>
                  </w:r>
                  <w:proofErr w:type="spellEnd"/>
                </w:p>
              </w:tc>
            </w:tr>
            <w:tr w:rsidR="00066D4C" w:rsidRPr="00D753BB" w:rsidTr="00CC0009">
              <w:trPr>
                <w:trHeight w:val="151"/>
              </w:trPr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D4C" w:rsidRPr="00D753BB" w:rsidRDefault="00066D4C" w:rsidP="001009A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D4C" w:rsidRPr="00D753BB" w:rsidRDefault="00066D4C" w:rsidP="001009A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D4C" w:rsidRPr="00D753BB" w:rsidRDefault="00066D4C" w:rsidP="001009A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D4C" w:rsidRPr="00D753BB" w:rsidRDefault="00066D4C" w:rsidP="001009A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66D4C" w:rsidRPr="00D753BB" w:rsidRDefault="00066D4C" w:rsidP="001009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E4699" w:rsidRPr="001009A0" w:rsidRDefault="000E4699" w:rsidP="00BE1FA1">
      <w:pPr>
        <w:rPr>
          <w:sz w:val="22"/>
        </w:rPr>
      </w:pPr>
    </w:p>
    <w:sectPr w:rsidR="000E4699" w:rsidRPr="001009A0" w:rsidSect="00E13AA2">
      <w:headerReference w:type="default" r:id="rId9"/>
      <w:pgSz w:w="16838" w:h="11906" w:orient="landscape"/>
      <w:pgMar w:top="426" w:right="1134" w:bottom="709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4B" w:rsidRDefault="0061074B" w:rsidP="00C36238">
      <w:r>
        <w:separator/>
      </w:r>
    </w:p>
  </w:endnote>
  <w:endnote w:type="continuationSeparator" w:id="0">
    <w:p w:rsidR="0061074B" w:rsidRDefault="0061074B" w:rsidP="00C3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4B" w:rsidRDefault="0061074B" w:rsidP="00C36238">
      <w:r>
        <w:separator/>
      </w:r>
    </w:p>
  </w:footnote>
  <w:footnote w:type="continuationSeparator" w:id="0">
    <w:p w:rsidR="0061074B" w:rsidRDefault="0061074B" w:rsidP="00C3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B8" w:rsidRDefault="00CB0B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53BB" w:rsidRPr="00D753BB">
      <w:rPr>
        <w:noProof/>
        <w:lang w:val="ru-RU"/>
      </w:rPr>
      <w:t>2</w:t>
    </w:r>
    <w:r>
      <w:fldChar w:fldCharType="end"/>
    </w:r>
  </w:p>
  <w:p w:rsidR="00CB0BB8" w:rsidRDefault="00CB0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F3C"/>
    <w:multiLevelType w:val="hybridMultilevel"/>
    <w:tmpl w:val="0B4A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56AC"/>
    <w:multiLevelType w:val="hybridMultilevel"/>
    <w:tmpl w:val="0B4A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67"/>
    <w:rsid w:val="00021904"/>
    <w:rsid w:val="00045DAB"/>
    <w:rsid w:val="00053281"/>
    <w:rsid w:val="00066D4C"/>
    <w:rsid w:val="00090413"/>
    <w:rsid w:val="00095508"/>
    <w:rsid w:val="000C1566"/>
    <w:rsid w:val="000C24FE"/>
    <w:rsid w:val="000E4699"/>
    <w:rsid w:val="001009A0"/>
    <w:rsid w:val="00124972"/>
    <w:rsid w:val="001555D4"/>
    <w:rsid w:val="001673BB"/>
    <w:rsid w:val="00176E1B"/>
    <w:rsid w:val="00183667"/>
    <w:rsid w:val="001B0815"/>
    <w:rsid w:val="001B384A"/>
    <w:rsid w:val="001D6678"/>
    <w:rsid w:val="001E41AF"/>
    <w:rsid w:val="001F22CD"/>
    <w:rsid w:val="00203B10"/>
    <w:rsid w:val="002365FB"/>
    <w:rsid w:val="00252C1C"/>
    <w:rsid w:val="002B12B3"/>
    <w:rsid w:val="002D23EB"/>
    <w:rsid w:val="002D7121"/>
    <w:rsid w:val="002E7AAB"/>
    <w:rsid w:val="00314F1C"/>
    <w:rsid w:val="00325003"/>
    <w:rsid w:val="00330ADF"/>
    <w:rsid w:val="00346D81"/>
    <w:rsid w:val="00360909"/>
    <w:rsid w:val="003F7AD0"/>
    <w:rsid w:val="00422691"/>
    <w:rsid w:val="004533CA"/>
    <w:rsid w:val="00460A45"/>
    <w:rsid w:val="00466FF9"/>
    <w:rsid w:val="004A35DD"/>
    <w:rsid w:val="004B141B"/>
    <w:rsid w:val="004C15F3"/>
    <w:rsid w:val="004D3777"/>
    <w:rsid w:val="00506CBB"/>
    <w:rsid w:val="005120DE"/>
    <w:rsid w:val="005204D1"/>
    <w:rsid w:val="005337DE"/>
    <w:rsid w:val="005541F8"/>
    <w:rsid w:val="00585531"/>
    <w:rsid w:val="005A371C"/>
    <w:rsid w:val="005A44F2"/>
    <w:rsid w:val="005C398E"/>
    <w:rsid w:val="005E1BDE"/>
    <w:rsid w:val="0060516F"/>
    <w:rsid w:val="00606936"/>
    <w:rsid w:val="0061074B"/>
    <w:rsid w:val="00616FFD"/>
    <w:rsid w:val="00637453"/>
    <w:rsid w:val="0064779A"/>
    <w:rsid w:val="0066473B"/>
    <w:rsid w:val="0068303A"/>
    <w:rsid w:val="006D3980"/>
    <w:rsid w:val="006E4B36"/>
    <w:rsid w:val="006E5614"/>
    <w:rsid w:val="00703E5C"/>
    <w:rsid w:val="007452BA"/>
    <w:rsid w:val="00745B7C"/>
    <w:rsid w:val="007465B6"/>
    <w:rsid w:val="007A1719"/>
    <w:rsid w:val="007B4550"/>
    <w:rsid w:val="007B6475"/>
    <w:rsid w:val="007E449F"/>
    <w:rsid w:val="007F1B1C"/>
    <w:rsid w:val="00816EA6"/>
    <w:rsid w:val="00855301"/>
    <w:rsid w:val="008A76CE"/>
    <w:rsid w:val="008B3A9C"/>
    <w:rsid w:val="008B7FB2"/>
    <w:rsid w:val="008E05B5"/>
    <w:rsid w:val="008F7BC1"/>
    <w:rsid w:val="00907249"/>
    <w:rsid w:val="00914E11"/>
    <w:rsid w:val="00922CF1"/>
    <w:rsid w:val="00923A71"/>
    <w:rsid w:val="009352D5"/>
    <w:rsid w:val="00961863"/>
    <w:rsid w:val="00965E81"/>
    <w:rsid w:val="009A7D6D"/>
    <w:rsid w:val="009B0DF2"/>
    <w:rsid w:val="009B65CC"/>
    <w:rsid w:val="00A043C1"/>
    <w:rsid w:val="00A26F42"/>
    <w:rsid w:val="00A308DD"/>
    <w:rsid w:val="00A37001"/>
    <w:rsid w:val="00A46499"/>
    <w:rsid w:val="00A733E7"/>
    <w:rsid w:val="00A752E3"/>
    <w:rsid w:val="00A80749"/>
    <w:rsid w:val="00A973BE"/>
    <w:rsid w:val="00AA4A31"/>
    <w:rsid w:val="00AC5130"/>
    <w:rsid w:val="00B2033B"/>
    <w:rsid w:val="00B31662"/>
    <w:rsid w:val="00B33AD3"/>
    <w:rsid w:val="00B5597D"/>
    <w:rsid w:val="00B86D8D"/>
    <w:rsid w:val="00BD6885"/>
    <w:rsid w:val="00BE1BFA"/>
    <w:rsid w:val="00BE1FA1"/>
    <w:rsid w:val="00BE342B"/>
    <w:rsid w:val="00BF6F7B"/>
    <w:rsid w:val="00C279CC"/>
    <w:rsid w:val="00C30414"/>
    <w:rsid w:val="00C34418"/>
    <w:rsid w:val="00C36238"/>
    <w:rsid w:val="00C3767D"/>
    <w:rsid w:val="00C4098A"/>
    <w:rsid w:val="00C504EB"/>
    <w:rsid w:val="00C75240"/>
    <w:rsid w:val="00C8046E"/>
    <w:rsid w:val="00C82A60"/>
    <w:rsid w:val="00CB0076"/>
    <w:rsid w:val="00CB0BB8"/>
    <w:rsid w:val="00CB2412"/>
    <w:rsid w:val="00CC0009"/>
    <w:rsid w:val="00D11ECE"/>
    <w:rsid w:val="00D1376E"/>
    <w:rsid w:val="00D36671"/>
    <w:rsid w:val="00D517D7"/>
    <w:rsid w:val="00D60381"/>
    <w:rsid w:val="00D6250F"/>
    <w:rsid w:val="00D753BB"/>
    <w:rsid w:val="00D83C96"/>
    <w:rsid w:val="00DA22D8"/>
    <w:rsid w:val="00DA32DA"/>
    <w:rsid w:val="00DB33ED"/>
    <w:rsid w:val="00DD7451"/>
    <w:rsid w:val="00DE5377"/>
    <w:rsid w:val="00DE594B"/>
    <w:rsid w:val="00DE6BD8"/>
    <w:rsid w:val="00E02648"/>
    <w:rsid w:val="00E026C9"/>
    <w:rsid w:val="00E13AA2"/>
    <w:rsid w:val="00E217AE"/>
    <w:rsid w:val="00E26C1E"/>
    <w:rsid w:val="00E4569A"/>
    <w:rsid w:val="00E642C4"/>
    <w:rsid w:val="00ED5E0D"/>
    <w:rsid w:val="00EE35DA"/>
    <w:rsid w:val="00EF5784"/>
    <w:rsid w:val="00F113F1"/>
    <w:rsid w:val="00F270D0"/>
    <w:rsid w:val="00F273EF"/>
    <w:rsid w:val="00F43AFA"/>
    <w:rsid w:val="00F4478E"/>
    <w:rsid w:val="00F6218F"/>
    <w:rsid w:val="00F62B14"/>
    <w:rsid w:val="00F6497F"/>
    <w:rsid w:val="00F85FDF"/>
    <w:rsid w:val="00F87252"/>
    <w:rsid w:val="00FA6D47"/>
    <w:rsid w:val="00FB5E7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FD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00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370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2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C36238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362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36238"/>
    <w:rPr>
      <w:rFonts w:ascii="Times New Roman" w:hAnsi="Times New Roman"/>
      <w:sz w:val="28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021904"/>
    <w:pPr>
      <w:spacing w:after="200" w:line="276" w:lineRule="auto"/>
      <w:ind w:left="720"/>
      <w:contextualSpacing/>
    </w:pPr>
    <w:rPr>
      <w:rFonts w:ascii="Calibri" w:hAnsi="Calibri"/>
      <w:sz w:val="22"/>
      <w:lang w:val="x-none"/>
    </w:rPr>
  </w:style>
  <w:style w:type="character" w:customStyle="1" w:styleId="ab">
    <w:name w:val="Абзац списка Знак"/>
    <w:link w:val="aa"/>
    <w:uiPriority w:val="34"/>
    <w:rsid w:val="00021904"/>
    <w:rPr>
      <w:sz w:val="22"/>
      <w:szCs w:val="22"/>
      <w:lang w:val="x-none" w:eastAsia="en-US"/>
    </w:rPr>
  </w:style>
  <w:style w:type="paragraph" w:styleId="ac">
    <w:name w:val="Body Text"/>
    <w:aliases w:val="body text,Основной текст Знак + Первая строка:  1,27...,27 см,разреженный на ....,Список 1"/>
    <w:basedOn w:val="a"/>
    <w:link w:val="ad"/>
    <w:unhideWhenUsed/>
    <w:rsid w:val="00021904"/>
    <w:pPr>
      <w:spacing w:after="120"/>
    </w:pPr>
  </w:style>
  <w:style w:type="character" w:customStyle="1" w:styleId="ad">
    <w:name w:val="Основной текст Знак"/>
    <w:aliases w:val="body text Знак,Основной текст Знак + Первая строка:  1 Знак,27... Знак,27 см Знак,разреженный на .... Знак,Список 1 Знак"/>
    <w:link w:val="ac"/>
    <w:rsid w:val="00021904"/>
    <w:rPr>
      <w:rFonts w:ascii="Times New Roman" w:hAnsi="Times New Roman"/>
      <w:sz w:val="28"/>
      <w:szCs w:val="22"/>
      <w:lang w:eastAsia="en-US"/>
    </w:rPr>
  </w:style>
  <w:style w:type="paragraph" w:styleId="ae">
    <w:name w:val="Body Text First Indent"/>
    <w:basedOn w:val="ac"/>
    <w:link w:val="af"/>
    <w:rsid w:val="00021904"/>
    <w:pPr>
      <w:ind w:firstLine="210"/>
    </w:pPr>
    <w:rPr>
      <w:rFonts w:eastAsia="Times New Roman"/>
      <w:sz w:val="24"/>
      <w:szCs w:val="24"/>
      <w:lang w:val="x-none"/>
    </w:rPr>
  </w:style>
  <w:style w:type="character" w:customStyle="1" w:styleId="af">
    <w:name w:val="Красная строка Знак"/>
    <w:link w:val="ae"/>
    <w:rsid w:val="00021904"/>
    <w:rPr>
      <w:rFonts w:ascii="Times New Roman" w:eastAsia="Times New Roman" w:hAnsi="Times New Roman"/>
      <w:sz w:val="24"/>
      <w:szCs w:val="24"/>
      <w:lang w:val="x-none" w:eastAsia="en-US"/>
    </w:rPr>
  </w:style>
  <w:style w:type="paragraph" w:styleId="2">
    <w:name w:val="Body Text 2"/>
    <w:basedOn w:val="a"/>
    <w:link w:val="20"/>
    <w:unhideWhenUsed/>
    <w:rsid w:val="0036090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360909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36090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FD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00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370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2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C36238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362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36238"/>
    <w:rPr>
      <w:rFonts w:ascii="Times New Roman" w:hAnsi="Times New Roman"/>
      <w:sz w:val="28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021904"/>
    <w:pPr>
      <w:spacing w:after="200" w:line="276" w:lineRule="auto"/>
      <w:ind w:left="720"/>
      <w:contextualSpacing/>
    </w:pPr>
    <w:rPr>
      <w:rFonts w:ascii="Calibri" w:hAnsi="Calibri"/>
      <w:sz w:val="22"/>
      <w:lang w:val="x-none"/>
    </w:rPr>
  </w:style>
  <w:style w:type="character" w:customStyle="1" w:styleId="ab">
    <w:name w:val="Абзац списка Знак"/>
    <w:link w:val="aa"/>
    <w:uiPriority w:val="34"/>
    <w:rsid w:val="00021904"/>
    <w:rPr>
      <w:sz w:val="22"/>
      <w:szCs w:val="22"/>
      <w:lang w:val="x-none" w:eastAsia="en-US"/>
    </w:rPr>
  </w:style>
  <w:style w:type="paragraph" w:styleId="ac">
    <w:name w:val="Body Text"/>
    <w:aliases w:val="body text,Основной текст Знак + Первая строка:  1,27...,27 см,разреженный на ....,Список 1"/>
    <w:basedOn w:val="a"/>
    <w:link w:val="ad"/>
    <w:unhideWhenUsed/>
    <w:rsid w:val="00021904"/>
    <w:pPr>
      <w:spacing w:after="120"/>
    </w:pPr>
  </w:style>
  <w:style w:type="character" w:customStyle="1" w:styleId="ad">
    <w:name w:val="Основной текст Знак"/>
    <w:aliases w:val="body text Знак,Основной текст Знак + Первая строка:  1 Знак,27... Знак,27 см Знак,разреженный на .... Знак,Список 1 Знак"/>
    <w:link w:val="ac"/>
    <w:rsid w:val="00021904"/>
    <w:rPr>
      <w:rFonts w:ascii="Times New Roman" w:hAnsi="Times New Roman"/>
      <w:sz w:val="28"/>
      <w:szCs w:val="22"/>
      <w:lang w:eastAsia="en-US"/>
    </w:rPr>
  </w:style>
  <w:style w:type="paragraph" w:styleId="ae">
    <w:name w:val="Body Text First Indent"/>
    <w:basedOn w:val="ac"/>
    <w:link w:val="af"/>
    <w:rsid w:val="00021904"/>
    <w:pPr>
      <w:ind w:firstLine="210"/>
    </w:pPr>
    <w:rPr>
      <w:rFonts w:eastAsia="Times New Roman"/>
      <w:sz w:val="24"/>
      <w:szCs w:val="24"/>
      <w:lang w:val="x-none"/>
    </w:rPr>
  </w:style>
  <w:style w:type="character" w:customStyle="1" w:styleId="af">
    <w:name w:val="Красная строка Знак"/>
    <w:link w:val="ae"/>
    <w:rsid w:val="00021904"/>
    <w:rPr>
      <w:rFonts w:ascii="Times New Roman" w:eastAsia="Times New Roman" w:hAnsi="Times New Roman"/>
      <w:sz w:val="24"/>
      <w:szCs w:val="24"/>
      <w:lang w:val="x-none" w:eastAsia="en-US"/>
    </w:rPr>
  </w:style>
  <w:style w:type="paragraph" w:styleId="2">
    <w:name w:val="Body Text 2"/>
    <w:basedOn w:val="a"/>
    <w:link w:val="20"/>
    <w:unhideWhenUsed/>
    <w:rsid w:val="0036090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360909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3609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9E1B-0126-46BD-939B-F9BE4396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154</Pages>
  <Words>11494</Words>
  <Characters>65520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Куренкова Олеся Николаевна</dc:creator>
  <cp:keywords/>
  <dc:description/>
  <cp:lastModifiedBy>Щёголева Ксения Александровна</cp:lastModifiedBy>
  <cp:revision>6</cp:revision>
  <cp:lastPrinted>2018-07-25T14:08:00Z</cp:lastPrinted>
  <dcterms:created xsi:type="dcterms:W3CDTF">2019-02-11T09:02:00Z</dcterms:created>
  <dcterms:modified xsi:type="dcterms:W3CDTF">2019-05-14T05:58:00Z</dcterms:modified>
</cp:coreProperties>
</file>